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FA466C6">
      <w:pPr>
        <w:spacing w:line="360" w:lineRule="auto"/>
        <w:jc w:val="center"/>
        <w:rPr>
          <w:rFonts w:ascii="Times New Roman" w:hAnsi="Times New Roman" w:eastAsia="宋体" w:cs="Times New Roman"/>
          <w:b/>
          <w:sz w:val="32"/>
          <w:szCs w:val="40"/>
        </w:rPr>
      </w:pPr>
      <w:bookmarkStart w:id="27" w:name="_GoBack"/>
      <w:bookmarkEnd w:id="27"/>
      <w:r>
        <w:rPr>
          <w:rFonts w:hint="eastAsia" w:ascii="Times New Roman" w:hAnsi="Times New Roman" w:eastAsia="宋体" w:cs="Times New Roman"/>
          <w:b/>
          <w:sz w:val="32"/>
          <w:szCs w:val="40"/>
        </w:rPr>
        <w:t>《江西绿色生态 黄精》标准编制说明</w:t>
      </w:r>
    </w:p>
    <w:p w14:paraId="286C754E">
      <w:pPr>
        <w:pStyle w:val="24"/>
        <w:shd w:val="clear" w:color="auto" w:fill="FFFFFF"/>
        <w:spacing w:beforeLines="50" w:beforeAutospacing="0" w:afterLines="50" w:afterAutospacing="0" w:line="360" w:lineRule="auto"/>
        <w:ind w:firstLine="480" w:firstLineChars="200"/>
        <w:jc w:val="both"/>
        <w:rPr>
          <w:rFonts w:ascii="Times New Roman" w:hAnsi="Times New Roman" w:cs="Times New Roman"/>
          <w:color w:val="000000"/>
        </w:rPr>
      </w:pPr>
      <w:r>
        <w:rPr>
          <w:rFonts w:hint="eastAsia" w:ascii="Times New Roman" w:hAnsi="Times New Roman" w:cs="Times New Roman"/>
          <w:bCs/>
          <w:color w:val="000000"/>
        </w:rPr>
        <w:t>“江西绿色生态”标准指</w:t>
      </w:r>
      <w:r>
        <w:rPr>
          <w:rFonts w:hint="eastAsia" w:ascii="Times New Roman" w:hAnsi="Times New Roman" w:cs="Times New Roman"/>
          <w:color w:val="000000"/>
        </w:rPr>
        <w:t>江西省范围内制定的地方标准、团体标准、企业标准，经自愿申请和第三方机构评价，符合资源节约、环境保护、生态协调、质量领先要求，在文本上可以使用“江西绿色生态”标志的标准。</w:t>
      </w:r>
    </w:p>
    <w:p w14:paraId="65BD70EC">
      <w:pPr>
        <w:pStyle w:val="24"/>
        <w:shd w:val="clear" w:color="auto" w:fill="FFFFFF"/>
        <w:spacing w:beforeLines="50" w:beforeAutospacing="0" w:afterLines="50" w:afterAutospacing="0" w:line="360" w:lineRule="auto"/>
        <w:ind w:firstLine="480" w:firstLineChars="200"/>
        <w:jc w:val="both"/>
        <w:rPr>
          <w:rFonts w:ascii="Times New Roman" w:hAnsi="Times New Roman" w:cs="Times New Roman"/>
          <w:color w:val="000000"/>
        </w:rPr>
      </w:pPr>
      <w:r>
        <w:rPr>
          <w:rFonts w:hint="eastAsia" w:ascii="Times New Roman" w:hAnsi="Times New Roman" w:cs="Times New Roman"/>
          <w:color w:val="000000"/>
        </w:rPr>
        <w:t>“江西绿色生态”标准是自愿性标准，其定位和内涵应符合《“江西绿色生态”品牌评价通用要求》（</w:t>
      </w:r>
      <w:r>
        <w:rPr>
          <w:rFonts w:ascii="Times New Roman" w:hAnsi="Times New Roman" w:cs="Times New Roman"/>
          <w:color w:val="000000"/>
        </w:rPr>
        <w:t>DB36/T1138</w:t>
      </w:r>
      <w:r>
        <w:rPr>
          <w:rFonts w:hint="eastAsia" w:ascii="Times New Roman" w:hAnsi="Times New Roman" w:cs="Times New Roman"/>
          <w:color w:val="000000"/>
        </w:rPr>
        <w:t>），主要技术指标应达到国内先进水平。</w:t>
      </w:r>
    </w:p>
    <w:p w14:paraId="0A38E0F5">
      <w:pPr>
        <w:pStyle w:val="24"/>
        <w:shd w:val="clear" w:color="auto" w:fill="FFFFFF"/>
        <w:spacing w:beforeLines="50" w:beforeAutospacing="0" w:afterLines="50" w:afterAutospacing="0" w:line="360" w:lineRule="auto"/>
        <w:ind w:firstLine="480" w:firstLineChars="200"/>
        <w:jc w:val="both"/>
        <w:rPr>
          <w:rFonts w:ascii="Times New Roman" w:hAnsi="Times New Roman" w:cs="Times New Roman"/>
          <w:color w:val="000000"/>
        </w:rPr>
      </w:pPr>
      <w:r>
        <w:rPr>
          <w:rFonts w:hint="eastAsia" w:ascii="Times New Roman" w:hAnsi="Times New Roman" w:cs="Times New Roman"/>
          <w:color w:val="000000"/>
        </w:rPr>
        <w:t>“江西绿色生态”标准应符合有关法律、法规和规章的规定，符合国家和本省相关产业发展政策，符合有关强制性标准和</w:t>
      </w:r>
      <w:r>
        <w:rPr>
          <w:rFonts w:ascii="Times New Roman" w:hAnsi="Times New Roman" w:cs="Times New Roman"/>
          <w:color w:val="000000"/>
        </w:rPr>
        <w:t>GB/T1.1</w:t>
      </w:r>
      <w:r>
        <w:rPr>
          <w:rFonts w:hint="eastAsia" w:ascii="Times New Roman" w:hAnsi="Times New Roman" w:cs="Times New Roman"/>
          <w:color w:val="000000"/>
        </w:rPr>
        <w:t>系列标准的要求。</w:t>
      </w:r>
    </w:p>
    <w:p w14:paraId="6A187836">
      <w:pPr>
        <w:pStyle w:val="24"/>
        <w:shd w:val="clear" w:color="auto" w:fill="FFFFFF"/>
        <w:spacing w:beforeLines="50" w:beforeAutospacing="0" w:afterLines="50" w:afterAutospacing="0" w:line="360" w:lineRule="auto"/>
        <w:ind w:firstLine="480" w:firstLineChars="200"/>
        <w:jc w:val="both"/>
        <w:rPr>
          <w:rFonts w:ascii="Times New Roman" w:hAnsi="Times New Roman" w:cs="Times New Roman"/>
          <w:snapToGrid w:val="0"/>
          <w:color w:val="000000"/>
          <w:szCs w:val="21"/>
        </w:rPr>
      </w:pPr>
      <w:r>
        <w:rPr>
          <w:rFonts w:hint="eastAsia" w:ascii="Times New Roman" w:hAnsi="Times New Roman" w:cs="Times New Roman"/>
          <w:color w:val="000000"/>
        </w:rPr>
        <w:t>我省符合资源节约、环境保护、生态协调、质量领先要求的产品或服务，可以制定“江西绿色生态”标准。</w:t>
      </w:r>
      <w:r>
        <w:rPr>
          <w:rFonts w:hint="eastAsia" w:ascii="Times New Roman" w:hAnsi="Times New Roman" w:cs="Times New Roman"/>
          <w:snapToGrid w:val="0"/>
          <w:color w:val="000000"/>
          <w:szCs w:val="21"/>
        </w:rPr>
        <w:t>FAO和WHO均制订了食品、蔬菜及茶叶重金属的周允许摄入量和农残限量。美国、欧盟及我国传统出口中药的东南亚地区均对中药提出了重金属和农药残留限量的指标，并有提高的趋势。在此情况下，一方面我们要提出适合我国产品质量的标准以适应国际标准，提高我国出口产品的国际信誉和档次。另一方面中药在中国有数千年的使用历史，世界各国在制订相应的植物药产品质量标准中也多参考我国的中药标准，因此，及时的制订</w:t>
      </w:r>
      <w:r>
        <w:rPr>
          <w:rFonts w:hint="eastAsia" w:ascii="Times New Roman" w:hAnsi="Times New Roman" w:cs="Times New Roman"/>
          <w:color w:val="000000"/>
        </w:rPr>
        <w:t>“江西绿色生态”</w:t>
      </w:r>
      <w:r>
        <w:rPr>
          <w:rFonts w:hint="eastAsia" w:ascii="Times New Roman" w:hAnsi="Times New Roman" w:cs="Times New Roman"/>
          <w:snapToGrid w:val="0"/>
          <w:color w:val="000000"/>
          <w:szCs w:val="21"/>
        </w:rPr>
        <w:t>也可以创造对我国中药产品国际贸易相对有利的局面。</w:t>
      </w:r>
    </w:p>
    <w:p w14:paraId="0AA793E1">
      <w:pPr>
        <w:shd w:val="clear" w:color="auto" w:fill="FFFFFF"/>
        <w:spacing w:line="360" w:lineRule="auto"/>
        <w:ind w:firstLine="480" w:firstLineChars="200"/>
        <w:rPr>
          <w:rFonts w:ascii="Times New Roman" w:hAnsi="Times New Roman" w:cs="Times New Roman"/>
          <w:snapToGrid w:val="0"/>
          <w:color w:val="000000"/>
          <w:szCs w:val="21"/>
        </w:rPr>
      </w:pPr>
      <w:r>
        <w:rPr>
          <w:rFonts w:ascii="Times New Roman" w:hAnsi="Times New Roman" w:eastAsia="宋体" w:cs="Times New Roman"/>
          <w:snapToGrid w:val="0"/>
          <w:color w:val="000000"/>
          <w:sz w:val="24"/>
          <w:szCs w:val="21"/>
        </w:rPr>
        <w:br w:type="page"/>
      </w:r>
    </w:p>
    <w:p w14:paraId="30B32CD4">
      <w:pPr>
        <w:pStyle w:val="44"/>
        <w:numPr>
          <w:ilvl w:val="0"/>
          <w:numId w:val="1"/>
        </w:numPr>
        <w:spacing w:line="360" w:lineRule="auto"/>
        <w:ind w:left="0" w:firstLine="0" w:firstLineChars="0"/>
        <w:jc w:val="left"/>
        <w:rPr>
          <w:rFonts w:ascii="Times New Roman" w:hAnsi="Times New Roman" w:eastAsia="宋体" w:cs="Times New Roman"/>
          <w:b/>
          <w:sz w:val="24"/>
          <w:szCs w:val="24"/>
        </w:rPr>
      </w:pPr>
      <w:r>
        <w:rPr>
          <w:rFonts w:hint="eastAsia" w:ascii="Times New Roman" w:hAnsi="Times New Roman" w:eastAsia="宋体" w:cs="Times New Roman"/>
          <w:b/>
          <w:sz w:val="24"/>
          <w:szCs w:val="24"/>
        </w:rPr>
        <w:t>项目任务来源</w:t>
      </w:r>
    </w:p>
    <w:p w14:paraId="1553DA42">
      <w:pPr>
        <w:spacing w:line="360" w:lineRule="auto"/>
        <w:ind w:firstLine="480" w:firstLineChars="200"/>
        <w:jc w:val="left"/>
        <w:rPr>
          <w:rFonts w:ascii="Times New Roman" w:hAnsi="Times New Roman" w:eastAsia="宋体" w:cs="Times New Roman"/>
          <w:sz w:val="24"/>
          <w:szCs w:val="24"/>
        </w:rPr>
      </w:pPr>
      <w:r>
        <w:rPr>
          <w:rFonts w:hint="eastAsia" w:ascii="Times New Roman" w:hAnsi="Times New Roman" w:eastAsia="宋体" w:cs="Times New Roman"/>
          <w:sz w:val="24"/>
          <w:szCs w:val="24"/>
        </w:rPr>
        <w:t>《江西绿色生态黄精》标准编制项目系经赣绿品促会【</w:t>
      </w:r>
      <w:r>
        <w:rPr>
          <w:rFonts w:ascii="Times New Roman" w:hAnsi="Times New Roman" w:eastAsia="宋体" w:cs="Times New Roman"/>
          <w:sz w:val="24"/>
          <w:szCs w:val="24"/>
        </w:rPr>
        <w:t>2024</w:t>
      </w:r>
      <w:r>
        <w:rPr>
          <w:rFonts w:hint="eastAsia" w:ascii="Times New Roman" w:hAnsi="Times New Roman" w:eastAsia="宋体" w:cs="Times New Roman"/>
          <w:sz w:val="24"/>
          <w:szCs w:val="24"/>
        </w:rPr>
        <w:t>】</w:t>
      </w:r>
      <w:r>
        <w:rPr>
          <w:rFonts w:ascii="Times New Roman" w:hAnsi="Times New Roman" w:eastAsia="宋体" w:cs="Times New Roman"/>
          <w:sz w:val="24"/>
          <w:szCs w:val="24"/>
        </w:rPr>
        <w:t>44</w:t>
      </w:r>
      <w:r>
        <w:rPr>
          <w:rFonts w:hint="eastAsia" w:ascii="Times New Roman" w:hAnsi="Times New Roman" w:eastAsia="宋体" w:cs="Times New Roman"/>
          <w:sz w:val="24"/>
          <w:szCs w:val="24"/>
        </w:rPr>
        <w:t>号文任务下达，计划号：</w:t>
      </w:r>
      <w:r>
        <w:rPr>
          <w:rFonts w:ascii="Times New Roman" w:hAnsi="Times New Roman" w:eastAsia="宋体" w:cs="Times New Roman"/>
          <w:sz w:val="24"/>
          <w:szCs w:val="24"/>
        </w:rPr>
        <w:t>2024-10-02</w:t>
      </w:r>
      <w:r>
        <w:rPr>
          <w:rFonts w:hint="eastAsia" w:ascii="Times New Roman" w:hAnsi="Times New Roman" w:eastAsia="宋体" w:cs="Times New Roman"/>
          <w:sz w:val="24"/>
          <w:szCs w:val="24"/>
        </w:rPr>
        <w:t>。研究及产业支持包括：江西省中医药标准化委员会、江西省科技厅重点研发项目（林下黄精规范化种植）、吉安市农业农村局、铜鼓县人民政府黄精产业发展领导小组办公室、新干县、峡江县、安福县、崇义县等项目或政府产业规划等支持。</w:t>
      </w:r>
    </w:p>
    <w:p w14:paraId="15719BEF">
      <w:pPr>
        <w:pStyle w:val="44"/>
        <w:numPr>
          <w:ilvl w:val="0"/>
          <w:numId w:val="1"/>
        </w:numPr>
        <w:spacing w:line="360" w:lineRule="auto"/>
        <w:ind w:left="0" w:firstLine="0" w:firstLineChars="0"/>
        <w:jc w:val="left"/>
        <w:rPr>
          <w:rFonts w:ascii="Times New Roman" w:hAnsi="Times New Roman" w:eastAsia="宋体" w:cs="Times New Roman"/>
          <w:b/>
          <w:sz w:val="24"/>
          <w:szCs w:val="24"/>
        </w:rPr>
      </w:pPr>
      <w:r>
        <w:rPr>
          <w:rFonts w:hint="eastAsia" w:ascii="Times New Roman" w:hAnsi="Times New Roman" w:eastAsia="宋体" w:cs="Times New Roman"/>
          <w:b/>
          <w:sz w:val="24"/>
          <w:szCs w:val="24"/>
        </w:rPr>
        <w:t>标准完成单位及主要起草人</w:t>
      </w:r>
    </w:p>
    <w:p w14:paraId="7C779F95">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本标准由江西绿色生态品牌建设促进会提出并归口，本文件主要起草单位：</w:t>
      </w:r>
      <w:bookmarkStart w:id="0" w:name="_Hlk181080715"/>
      <w:r>
        <w:rPr>
          <w:rFonts w:hint="eastAsia" w:ascii="Times New Roman" w:hAnsi="Times New Roman" w:eastAsia="宋体" w:cs="Times New Roman"/>
          <w:sz w:val="24"/>
          <w:szCs w:val="24"/>
        </w:rPr>
        <w:t>新干县中药材事业发展中心、江西省林业科学院、吉安市农业农村产业发展服务中心、江西省科技推广和宣传教育中心、铜鼓县林业局、峡江县农业农村局、崇义县林业技术推广中心、新干县赣枳中药材有限公司、江西玉峡药业有限公司、赣州道正生态农业发展有限公司、九江市凰山守正中药材开发有限公司。</w:t>
      </w:r>
    </w:p>
    <w:p w14:paraId="58882FE8">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文件主要起草人：樊秀兰、刘国庆、黄文超、钟东洋、王建皓、龙小平、黄丽莉、朱灵芝、廖和平、滕琳艳、黄祝春、彭逸珍、龚远洪、唐均成、曾日辉、廖子依、王辉辉、袁美玲、刘志强、胡玉萍、袁小勇、谢安杰、宋雯静、李勇星、朱定宾、朱纪洲、蔡锦芳、许鹏、李琪、彭欢。</w:t>
      </w:r>
    </w:p>
    <w:bookmarkEnd w:id="0"/>
    <w:p w14:paraId="676DB8D9">
      <w:pPr>
        <w:pStyle w:val="44"/>
        <w:numPr>
          <w:ilvl w:val="0"/>
          <w:numId w:val="1"/>
        </w:numPr>
        <w:spacing w:line="360" w:lineRule="auto"/>
        <w:ind w:left="0" w:firstLine="0" w:firstLineChars="0"/>
        <w:jc w:val="left"/>
        <w:rPr>
          <w:rFonts w:ascii="Times New Roman" w:hAnsi="Times New Roman" w:eastAsia="宋体" w:cs="Times New Roman"/>
          <w:b/>
          <w:sz w:val="24"/>
          <w:szCs w:val="24"/>
        </w:rPr>
      </w:pPr>
      <w:r>
        <w:rPr>
          <w:rFonts w:hint="eastAsia" w:ascii="Times New Roman" w:hAnsi="Times New Roman" w:eastAsia="宋体" w:cs="Times New Roman"/>
          <w:b/>
          <w:sz w:val="24"/>
          <w:szCs w:val="24"/>
        </w:rPr>
        <w:t>标准文稿形成过程</w:t>
      </w:r>
    </w:p>
    <w:p w14:paraId="2EBC5C82">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1</w:t>
      </w:r>
      <w:r>
        <w:rPr>
          <w:rFonts w:hint="eastAsia" w:ascii="Times New Roman" w:hAnsi="Times New Roman" w:eastAsia="宋体" w:cs="Times New Roman"/>
          <w:sz w:val="24"/>
          <w:szCs w:val="24"/>
        </w:rPr>
        <w:t>、</w:t>
      </w:r>
      <w:r>
        <w:rPr>
          <w:rFonts w:ascii="Times New Roman" w:hAnsi="Times New Roman" w:eastAsia="宋体" w:cs="Times New Roman"/>
          <w:sz w:val="24"/>
          <w:szCs w:val="24"/>
        </w:rPr>
        <w:t>2022</w:t>
      </w:r>
      <w:r>
        <w:rPr>
          <w:rFonts w:hint="eastAsia" w:ascii="Times New Roman" w:hAnsi="Times New Roman" w:eastAsia="宋体" w:cs="Times New Roman"/>
          <w:sz w:val="24"/>
          <w:szCs w:val="24"/>
        </w:rPr>
        <w:t>年</w:t>
      </w:r>
      <w:r>
        <w:rPr>
          <w:rFonts w:ascii="Times New Roman" w:hAnsi="Times New Roman" w:eastAsia="宋体" w:cs="Times New Roman"/>
          <w:sz w:val="24"/>
          <w:szCs w:val="24"/>
        </w:rPr>
        <w:t>7</w:t>
      </w:r>
      <w:r>
        <w:rPr>
          <w:rFonts w:hint="eastAsia" w:ascii="Times New Roman" w:hAnsi="Times New Roman" w:eastAsia="宋体" w:cs="Times New Roman"/>
          <w:sz w:val="24"/>
          <w:szCs w:val="24"/>
        </w:rPr>
        <w:t>月</w:t>
      </w:r>
      <w:r>
        <w:rPr>
          <w:rFonts w:ascii="Times New Roman" w:hAnsi="Times New Roman" w:eastAsia="宋体" w:cs="Times New Roman"/>
          <w:sz w:val="24"/>
          <w:szCs w:val="24"/>
        </w:rPr>
        <w:t>-2023</w:t>
      </w:r>
      <w:r>
        <w:rPr>
          <w:rFonts w:hint="eastAsia" w:ascii="Times New Roman" w:hAnsi="Times New Roman" w:eastAsia="宋体" w:cs="Times New Roman"/>
          <w:sz w:val="24"/>
          <w:szCs w:val="24"/>
        </w:rPr>
        <w:t>年</w:t>
      </w:r>
      <w:r>
        <w:rPr>
          <w:rFonts w:ascii="Times New Roman" w:hAnsi="Times New Roman" w:eastAsia="宋体" w:cs="Times New Roman"/>
          <w:sz w:val="24"/>
          <w:szCs w:val="24"/>
        </w:rPr>
        <w:t>6</w:t>
      </w:r>
      <w:r>
        <w:rPr>
          <w:rFonts w:hint="eastAsia" w:ascii="Times New Roman" w:hAnsi="Times New Roman" w:eastAsia="宋体" w:cs="Times New Roman"/>
          <w:sz w:val="24"/>
          <w:szCs w:val="24"/>
        </w:rPr>
        <w:t>月，相关数据采集、汇总、分析、整理。</w:t>
      </w:r>
    </w:p>
    <w:p w14:paraId="58555F51">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2</w:t>
      </w:r>
      <w:r>
        <w:rPr>
          <w:rFonts w:hint="eastAsia" w:ascii="Times New Roman" w:hAnsi="Times New Roman" w:eastAsia="宋体" w:cs="Times New Roman"/>
          <w:sz w:val="24"/>
          <w:szCs w:val="24"/>
        </w:rPr>
        <w:t>、</w:t>
      </w:r>
      <w:r>
        <w:rPr>
          <w:rFonts w:ascii="Times New Roman" w:hAnsi="Times New Roman" w:eastAsia="宋体" w:cs="Times New Roman"/>
          <w:sz w:val="24"/>
          <w:szCs w:val="24"/>
        </w:rPr>
        <w:t>2023</w:t>
      </w:r>
      <w:r>
        <w:rPr>
          <w:rFonts w:hint="eastAsia" w:ascii="Times New Roman" w:hAnsi="Times New Roman" w:eastAsia="宋体" w:cs="Times New Roman"/>
          <w:sz w:val="24"/>
          <w:szCs w:val="24"/>
        </w:rPr>
        <w:t>年</w:t>
      </w:r>
      <w:r>
        <w:rPr>
          <w:rFonts w:ascii="Times New Roman" w:hAnsi="Times New Roman" w:eastAsia="宋体" w:cs="Times New Roman"/>
          <w:sz w:val="24"/>
          <w:szCs w:val="24"/>
        </w:rPr>
        <w:t>7</w:t>
      </w:r>
      <w:r>
        <w:rPr>
          <w:rFonts w:hint="eastAsia" w:ascii="Times New Roman" w:hAnsi="Times New Roman" w:eastAsia="宋体" w:cs="Times New Roman"/>
          <w:sz w:val="24"/>
          <w:szCs w:val="24"/>
        </w:rPr>
        <w:t>月</w:t>
      </w:r>
      <w:r>
        <w:rPr>
          <w:rFonts w:ascii="Times New Roman" w:hAnsi="Times New Roman" w:eastAsia="宋体" w:cs="Times New Roman"/>
          <w:sz w:val="24"/>
          <w:szCs w:val="24"/>
        </w:rPr>
        <w:t>-2024</w:t>
      </w:r>
      <w:r>
        <w:rPr>
          <w:rFonts w:hint="eastAsia" w:ascii="Times New Roman" w:hAnsi="Times New Roman" w:eastAsia="宋体" w:cs="Times New Roman"/>
          <w:sz w:val="24"/>
          <w:szCs w:val="24"/>
        </w:rPr>
        <w:t>年</w:t>
      </w:r>
      <w:r>
        <w:rPr>
          <w:rFonts w:ascii="Times New Roman" w:hAnsi="Times New Roman" w:eastAsia="宋体" w:cs="Times New Roman"/>
          <w:sz w:val="24"/>
          <w:szCs w:val="24"/>
        </w:rPr>
        <w:t>10</w:t>
      </w:r>
      <w:r>
        <w:rPr>
          <w:rFonts w:hint="eastAsia" w:ascii="Times New Roman" w:hAnsi="Times New Roman" w:eastAsia="宋体" w:cs="Times New Roman"/>
          <w:sz w:val="24"/>
          <w:szCs w:val="24"/>
        </w:rPr>
        <w:t>月，对标准文稿进行反复修改，征求专家意见并修改完善。</w:t>
      </w:r>
    </w:p>
    <w:p w14:paraId="35EB4234">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3</w:t>
      </w:r>
      <w:r>
        <w:rPr>
          <w:rFonts w:hint="eastAsia" w:ascii="Times New Roman" w:hAnsi="Times New Roman" w:eastAsia="宋体" w:cs="Times New Roman"/>
          <w:sz w:val="24"/>
          <w:szCs w:val="24"/>
        </w:rPr>
        <w:t>、</w:t>
      </w:r>
      <w:r>
        <w:rPr>
          <w:rFonts w:ascii="Times New Roman" w:hAnsi="Times New Roman" w:eastAsia="宋体" w:cs="Times New Roman"/>
          <w:sz w:val="24"/>
          <w:szCs w:val="24"/>
        </w:rPr>
        <w:t>2024</w:t>
      </w:r>
      <w:r>
        <w:rPr>
          <w:rFonts w:hint="eastAsia" w:ascii="Times New Roman" w:hAnsi="Times New Roman" w:eastAsia="宋体" w:cs="Times New Roman"/>
          <w:sz w:val="24"/>
          <w:szCs w:val="24"/>
        </w:rPr>
        <w:t>年</w:t>
      </w:r>
      <w:r>
        <w:rPr>
          <w:rFonts w:ascii="Times New Roman" w:hAnsi="Times New Roman" w:eastAsia="宋体" w:cs="Times New Roman"/>
          <w:sz w:val="24"/>
          <w:szCs w:val="24"/>
        </w:rPr>
        <w:t>11</w:t>
      </w:r>
      <w:r>
        <w:rPr>
          <w:rFonts w:hint="eastAsia" w:ascii="Times New Roman" w:hAnsi="Times New Roman" w:eastAsia="宋体" w:cs="Times New Roman"/>
          <w:sz w:val="24"/>
          <w:szCs w:val="24"/>
        </w:rPr>
        <w:t>月</w:t>
      </w:r>
      <w:r>
        <w:rPr>
          <w:rFonts w:ascii="Times New Roman" w:hAnsi="Times New Roman" w:eastAsia="宋体" w:cs="Times New Roman"/>
          <w:sz w:val="24"/>
          <w:szCs w:val="24"/>
        </w:rPr>
        <w:t>-2024</w:t>
      </w:r>
      <w:r>
        <w:rPr>
          <w:rFonts w:hint="eastAsia" w:ascii="Times New Roman" w:hAnsi="Times New Roman" w:eastAsia="宋体" w:cs="Times New Roman"/>
          <w:sz w:val="24"/>
          <w:szCs w:val="24"/>
        </w:rPr>
        <w:t>年</w:t>
      </w:r>
      <w:r>
        <w:rPr>
          <w:rFonts w:ascii="Times New Roman" w:hAnsi="Times New Roman" w:eastAsia="宋体" w:cs="Times New Roman"/>
          <w:sz w:val="24"/>
          <w:szCs w:val="24"/>
        </w:rPr>
        <w:t>12</w:t>
      </w:r>
      <w:r>
        <w:rPr>
          <w:rFonts w:hint="eastAsia" w:ascii="Times New Roman" w:hAnsi="Times New Roman" w:eastAsia="宋体" w:cs="Times New Roman"/>
          <w:sz w:val="24"/>
          <w:szCs w:val="24"/>
        </w:rPr>
        <w:t>月，标准审定、报批。</w:t>
      </w:r>
    </w:p>
    <w:p w14:paraId="42B99761">
      <w:pPr>
        <w:pStyle w:val="44"/>
        <w:numPr>
          <w:ilvl w:val="0"/>
          <w:numId w:val="1"/>
        </w:numPr>
        <w:spacing w:line="360" w:lineRule="auto"/>
        <w:ind w:left="0" w:firstLine="0" w:firstLineChars="0"/>
        <w:jc w:val="left"/>
        <w:rPr>
          <w:rFonts w:ascii="Times New Roman" w:hAnsi="Times New Roman" w:eastAsia="宋体" w:cs="Times New Roman"/>
          <w:b/>
          <w:sz w:val="24"/>
          <w:szCs w:val="24"/>
        </w:rPr>
      </w:pPr>
      <w:r>
        <w:rPr>
          <w:rFonts w:hint="eastAsia" w:ascii="Times New Roman" w:hAnsi="Times New Roman" w:eastAsia="宋体" w:cs="Times New Roman"/>
          <w:b/>
          <w:sz w:val="24"/>
          <w:szCs w:val="24"/>
        </w:rPr>
        <w:t>标准编制的背景和意义</w:t>
      </w:r>
    </w:p>
    <w:p w14:paraId="503EAEF3">
      <w:pPr>
        <w:pStyle w:val="44"/>
        <w:spacing w:line="360" w:lineRule="auto"/>
        <w:ind w:firstLine="480"/>
        <w:jc w:val="left"/>
        <w:rPr>
          <w:rFonts w:ascii="Times New Roman" w:hAnsi="Times New Roman" w:eastAsia="宋体" w:cs="Times New Roman"/>
          <w:sz w:val="24"/>
          <w:szCs w:val="24"/>
        </w:rPr>
      </w:pPr>
      <w:r>
        <w:rPr>
          <w:rFonts w:ascii="Times New Roman" w:hAnsi="Times New Roman" w:eastAsia="宋体" w:cs="Times New Roman"/>
          <w:sz w:val="24"/>
          <w:szCs w:val="24"/>
        </w:rPr>
        <w:t>1</w:t>
      </w:r>
      <w:r>
        <w:rPr>
          <w:rFonts w:hint="eastAsia" w:ascii="Times New Roman" w:hAnsi="Times New Roman" w:eastAsia="宋体" w:cs="Times New Roman"/>
          <w:sz w:val="24"/>
          <w:szCs w:val="24"/>
        </w:rPr>
        <w:t>、标准编制的背景</w:t>
      </w:r>
    </w:p>
    <w:p w14:paraId="5F6E70F9">
      <w:pPr>
        <w:pStyle w:val="24"/>
        <w:shd w:val="clear" w:color="auto" w:fill="FFFFFF"/>
        <w:spacing w:beforeAutospacing="0" w:after="0" w:afterAutospacing="0" w:line="360" w:lineRule="auto"/>
        <w:ind w:firstLine="480" w:firstLineChars="200"/>
        <w:jc w:val="both"/>
        <w:rPr>
          <w:rFonts w:ascii="Times New Roman" w:hAnsi="Times New Roman" w:cs="Times New Roman"/>
          <w:kern w:val="2"/>
        </w:rPr>
      </w:pPr>
      <w:r>
        <w:rPr>
          <w:rFonts w:ascii="Times New Roman" w:hAnsi="Times New Roman" w:cs="Times New Roman"/>
        </w:rPr>
        <w:t>无论</w:t>
      </w:r>
      <w:r>
        <w:rPr>
          <w:rFonts w:hint="eastAsia" w:ascii="Times New Roman" w:hAnsi="Times New Roman" w:cs="Times New Roman"/>
          <w:kern w:val="2"/>
        </w:rPr>
        <w:t>国际</w:t>
      </w:r>
      <w:r>
        <w:rPr>
          <w:rFonts w:ascii="Times New Roman" w:hAnsi="Times New Roman" w:cs="Times New Roman"/>
        </w:rPr>
        <w:t>、国内</w:t>
      </w:r>
      <w:r>
        <w:rPr>
          <w:rFonts w:hint="eastAsia" w:ascii="Times New Roman" w:hAnsi="Times New Roman" w:cs="Times New Roman"/>
          <w:kern w:val="2"/>
        </w:rPr>
        <w:t>贸易</w:t>
      </w:r>
      <w:r>
        <w:rPr>
          <w:rFonts w:ascii="Times New Roman" w:hAnsi="Times New Roman" w:cs="Times New Roman"/>
        </w:rPr>
        <w:t>，</w:t>
      </w:r>
      <w:r>
        <w:rPr>
          <w:rFonts w:hint="eastAsia" w:ascii="Times New Roman" w:hAnsi="Times New Roman" w:cs="Times New Roman"/>
          <w:kern w:val="2"/>
        </w:rPr>
        <w:t>以环保标准为基础的绿色认证制度</w:t>
      </w:r>
      <w:r>
        <w:rPr>
          <w:rFonts w:ascii="Times New Roman" w:hAnsi="Times New Roman" w:cs="Times New Roman"/>
        </w:rPr>
        <w:t>都十分</w:t>
      </w:r>
      <w:r>
        <w:rPr>
          <w:rFonts w:hint="eastAsia" w:ascii="Times New Roman" w:hAnsi="Times New Roman" w:cs="Times New Roman"/>
          <w:kern w:val="2"/>
        </w:rPr>
        <w:t>盛行，</w:t>
      </w:r>
      <w:r>
        <w:rPr>
          <w:rFonts w:ascii="Times New Roman" w:hAnsi="Times New Roman" w:cs="Times New Roman"/>
          <w:kern w:val="2"/>
        </w:rPr>
        <w:t>“</w:t>
      </w:r>
      <w:r>
        <w:rPr>
          <w:rFonts w:hint="eastAsia" w:ascii="Times New Roman" w:hAnsi="Times New Roman" w:cs="Times New Roman"/>
          <w:kern w:val="2"/>
        </w:rPr>
        <w:t>环保标签</w:t>
      </w:r>
      <w:r>
        <w:rPr>
          <w:rFonts w:ascii="Times New Roman" w:hAnsi="Times New Roman" w:cs="Times New Roman"/>
          <w:kern w:val="2"/>
        </w:rPr>
        <w:t>”</w:t>
      </w:r>
      <w:r>
        <w:rPr>
          <w:rFonts w:hint="eastAsia" w:ascii="Times New Roman" w:hAnsi="Times New Roman" w:cs="Times New Roman"/>
          <w:kern w:val="2"/>
        </w:rPr>
        <w:t>视为贸易往来的一个</w:t>
      </w:r>
      <w:r>
        <w:rPr>
          <w:rFonts w:ascii="Times New Roman" w:hAnsi="Times New Roman" w:cs="Times New Roman"/>
        </w:rPr>
        <w:t>品质筹码</w:t>
      </w:r>
      <w:r>
        <w:rPr>
          <w:rFonts w:hint="eastAsia" w:ascii="Times New Roman" w:hAnsi="Times New Roman" w:cs="Times New Roman"/>
          <w:kern w:val="2"/>
        </w:rPr>
        <w:t>加以利用</w:t>
      </w:r>
      <w:r>
        <w:rPr>
          <w:rFonts w:ascii="Times New Roman" w:hAnsi="Times New Roman" w:cs="Times New Roman"/>
        </w:rPr>
        <w:t>。我国从加入WTO后，与世界接轨，</w:t>
      </w:r>
      <w:r>
        <w:rPr>
          <w:rFonts w:hint="eastAsia" w:ascii="Times New Roman" w:hAnsi="Times New Roman" w:cs="Times New Roman"/>
          <w:kern w:val="2"/>
        </w:rPr>
        <w:t>从</w:t>
      </w:r>
      <w:r>
        <w:fldChar w:fldCharType="begin"/>
      </w:r>
      <w:r>
        <w:instrText xml:space="preserve"> HYPERLINK "http://www.chinalawedu.com/fagui2006/index.shtm" \t "_blank" </w:instrText>
      </w:r>
      <w:r>
        <w:fldChar w:fldCharType="separate"/>
      </w:r>
      <w:r>
        <w:rPr>
          <w:rFonts w:hint="eastAsia" w:ascii="Times New Roman" w:hAnsi="Times New Roman" w:cs="Times New Roman"/>
          <w:kern w:val="2"/>
        </w:rPr>
        <w:t>法律</w:t>
      </w:r>
      <w:r>
        <w:rPr>
          <w:rFonts w:hint="eastAsia" w:ascii="Times New Roman" w:hAnsi="Times New Roman" w:cs="Times New Roman"/>
          <w:kern w:val="2"/>
        </w:rPr>
        <w:fldChar w:fldCharType="end"/>
      </w:r>
      <w:r>
        <w:rPr>
          <w:rFonts w:hint="eastAsia" w:ascii="Times New Roman" w:hAnsi="Times New Roman" w:cs="Times New Roman"/>
          <w:kern w:val="2"/>
        </w:rPr>
        <w:t>、</w:t>
      </w:r>
      <w:r>
        <w:fldChar w:fldCharType="begin"/>
      </w:r>
      <w:r>
        <w:instrText xml:space="preserve"> HYPERLINK "http://www.chinalawedu.com/fagui2006/index.shtm" \t "_blank" </w:instrText>
      </w:r>
      <w:r>
        <w:fldChar w:fldCharType="separate"/>
      </w:r>
      <w:r>
        <w:rPr>
          <w:rFonts w:hint="eastAsia" w:ascii="Times New Roman" w:hAnsi="Times New Roman" w:cs="Times New Roman"/>
          <w:kern w:val="2"/>
        </w:rPr>
        <w:t>法规</w:t>
      </w:r>
      <w:r>
        <w:rPr>
          <w:rFonts w:hint="eastAsia" w:ascii="Times New Roman" w:hAnsi="Times New Roman" w:cs="Times New Roman"/>
          <w:kern w:val="2"/>
        </w:rPr>
        <w:fldChar w:fldCharType="end"/>
      </w:r>
      <w:r>
        <w:rPr>
          <w:rFonts w:hint="eastAsia" w:ascii="Times New Roman" w:hAnsi="Times New Roman" w:cs="Times New Roman"/>
          <w:kern w:val="2"/>
        </w:rPr>
        <w:t>、政策、措施等方面鼓励发展绿色产品。</w:t>
      </w:r>
    </w:p>
    <w:p w14:paraId="2A02BDC6">
      <w:pPr>
        <w:pStyle w:val="24"/>
        <w:shd w:val="clear" w:color="auto" w:fill="FFFFFF"/>
        <w:spacing w:beforeAutospacing="0" w:after="0" w:afterAutospacing="0" w:line="360" w:lineRule="auto"/>
        <w:ind w:firstLine="480" w:firstLineChars="200"/>
        <w:jc w:val="both"/>
        <w:rPr>
          <w:rFonts w:ascii="Times New Roman" w:hAnsi="Times New Roman" w:cs="Times New Roman"/>
          <w:color w:val="000000"/>
        </w:rPr>
      </w:pPr>
      <w:r>
        <w:rPr>
          <w:rFonts w:hint="eastAsia" w:ascii="Times New Roman" w:hAnsi="Times New Roman" w:cs="Times New Roman"/>
        </w:rPr>
        <w:t>黄精（多花黄精）是“赣食十味”重点战略品牌药食同源药材品种之一。</w:t>
      </w:r>
      <w:r>
        <w:rPr>
          <w:rFonts w:ascii="Times New Roman" w:hAnsi="Times New Roman" w:cs="Times New Roman"/>
        </w:rPr>
        <w:t>2020</w:t>
      </w:r>
      <w:r>
        <w:rPr>
          <w:rFonts w:hint="eastAsia" w:ascii="Times New Roman" w:hAnsi="Times New Roman" w:cs="Times New Roman"/>
        </w:rPr>
        <w:t>年</w:t>
      </w:r>
      <w:r>
        <w:rPr>
          <w:rFonts w:ascii="Times New Roman" w:hAnsi="Times New Roman" w:cs="Times New Roman"/>
        </w:rPr>
        <w:t>2</w:t>
      </w:r>
      <w:r>
        <w:rPr>
          <w:rFonts w:hint="eastAsia" w:ascii="Times New Roman" w:hAnsi="Times New Roman" w:cs="Times New Roman"/>
        </w:rPr>
        <w:t>月</w:t>
      </w:r>
      <w:r>
        <w:rPr>
          <w:rFonts w:ascii="Times New Roman" w:hAnsi="Times New Roman" w:cs="Times New Roman"/>
        </w:rPr>
        <w:t>14</w:t>
      </w:r>
      <w:r>
        <w:rPr>
          <w:rFonts w:hint="eastAsia" w:ascii="Times New Roman" w:hAnsi="Times New Roman" w:cs="Times New Roman"/>
        </w:rPr>
        <w:t>日，江西省中医药管理局、江西省工业和信息化厅、江西省农业农村厅、江西省林业局、江西省市场监督管理局、江西省药品监督管理局联合发布的《关于公布江西省中药材“赣十味”、“赣食十味”名单的通知》，赣中医药产业字【</w:t>
      </w:r>
      <w:r>
        <w:rPr>
          <w:rFonts w:ascii="Times New Roman" w:hAnsi="Times New Roman" w:cs="Times New Roman"/>
        </w:rPr>
        <w:t>2020</w:t>
      </w:r>
      <w:r>
        <w:rPr>
          <w:rFonts w:hint="eastAsia" w:ascii="Times New Roman" w:hAnsi="Times New Roman" w:cs="Times New Roman"/>
        </w:rPr>
        <w:t>】</w:t>
      </w:r>
      <w:r>
        <w:rPr>
          <w:rFonts w:ascii="Times New Roman" w:hAnsi="Times New Roman" w:cs="Times New Roman"/>
        </w:rPr>
        <w:t>1</w:t>
      </w:r>
      <w:r>
        <w:rPr>
          <w:rFonts w:hint="eastAsia" w:ascii="Times New Roman" w:hAnsi="Times New Roman" w:cs="Times New Roman"/>
        </w:rPr>
        <w:t>号）我省拥有“铜鼓黄精之乡”的称号、地理标志产品“铜鼓黄精”广泛种植于铜鼓、</w:t>
      </w:r>
      <w:r>
        <w:rPr>
          <w:rFonts w:hint="eastAsia" w:ascii="Times New Roman" w:hAnsi="Times New Roman" w:cs="Times New Roman"/>
          <w:color w:val="000000" w:themeColor="text1"/>
        </w:rPr>
        <w:t>鄱阳、资溪</w:t>
      </w:r>
      <w:r>
        <w:rPr>
          <w:rFonts w:hint="eastAsia" w:ascii="Times New Roman" w:hAnsi="Times New Roman" w:cs="Times New Roman"/>
        </w:rPr>
        <w:t>等多个县市，并已纳入产业发展规划。我省黄精产品及产业急需要通过“绿色产品”的标准提档、质量提升、品牌引领来实现供给的升级。</w:t>
      </w:r>
    </w:p>
    <w:p w14:paraId="1B817AB3">
      <w:pPr>
        <w:widowControl/>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kern w:val="0"/>
          <w:sz w:val="24"/>
          <w:szCs w:val="24"/>
        </w:rPr>
        <w:t>优质要体现优价，先要有更优的质量标准可依。标准的制订是中药现代化的</w:t>
      </w:r>
      <w:r>
        <w:rPr>
          <w:rFonts w:hint="eastAsia" w:ascii="Times New Roman" w:hAnsi="Times New Roman" w:eastAsia="宋体" w:cs="Times New Roman"/>
          <w:sz w:val="24"/>
          <w:szCs w:val="24"/>
        </w:rPr>
        <w:t>重要内容之一。其中绿色品质的安全标准和独特优异品质都是中药现代化的一个基本组成部分。现代科学已经证明了重金属及农药的残留对人体有害。另一方面，人们追求独特优异品质的需求大大增加。高品质绿色品质标准的建立，是目前解决我们中药在国际、国内贸易中所遇到的药材质量影响因素中最重要的一个环节，如果要走向世界的话，中药材质量的绿色品质更可以说是众多工作中的第一步。</w:t>
      </w:r>
    </w:p>
    <w:p w14:paraId="1CC9AAAA">
      <w:pPr>
        <w:spacing w:line="360" w:lineRule="auto"/>
        <w:ind w:firstLine="480" w:firstLineChars="200"/>
        <w:jc w:val="left"/>
        <w:rPr>
          <w:rFonts w:ascii="Times New Roman" w:hAnsi="Times New Roman" w:eastAsia="宋体" w:cs="Times New Roman"/>
          <w:sz w:val="24"/>
          <w:szCs w:val="24"/>
        </w:rPr>
      </w:pPr>
      <w:r>
        <w:rPr>
          <w:rFonts w:hint="eastAsia" w:ascii="Times New Roman" w:hAnsi="Times New Roman" w:eastAsia="宋体" w:cs="Times New Roman"/>
          <w:sz w:val="24"/>
          <w:szCs w:val="24"/>
        </w:rPr>
        <w:t>“江西绿色生态”是我省市场监管局牵头打造的一项区域公共品牌，旨在助力我省地方经济高质量发展，树立江西产品与服务“绿色生态、江西出品”的品牌形象。“江西绿色生态”区域公用品牌采用“标准</w:t>
      </w:r>
      <w:r>
        <w:rPr>
          <w:rFonts w:ascii="Times New Roman" w:hAnsi="Times New Roman" w:eastAsia="宋体" w:cs="Times New Roman"/>
          <w:sz w:val="24"/>
          <w:szCs w:val="24"/>
        </w:rPr>
        <w:t>+</w:t>
      </w:r>
      <w:r>
        <w:rPr>
          <w:rFonts w:hint="eastAsia" w:ascii="Times New Roman" w:hAnsi="Times New Roman" w:eastAsia="宋体" w:cs="Times New Roman"/>
          <w:sz w:val="24"/>
          <w:szCs w:val="24"/>
        </w:rPr>
        <w:t>认证”模式，因此，本次标准的申请成为我省黄精产业绿色生态环保产品生产及品牌建设的首要任务。</w:t>
      </w:r>
    </w:p>
    <w:p w14:paraId="12D7672C">
      <w:pPr>
        <w:widowControl/>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当前，全球粮食安全形势复杂严峻，与饮食相关的慢性疾病普遍存在，</w:t>
      </w:r>
      <w:r>
        <w:rPr>
          <w:rFonts w:ascii="Times New Roman" w:hAnsi="Times New Roman" w:eastAsia="宋体" w:cs="Times New Roman"/>
          <w:sz w:val="24"/>
          <w:szCs w:val="24"/>
        </w:rPr>
        <w:t>“</w:t>
      </w:r>
      <w:r>
        <w:rPr>
          <w:rFonts w:hint="eastAsia" w:ascii="Times New Roman" w:hAnsi="Times New Roman" w:eastAsia="宋体" w:cs="Times New Roman"/>
          <w:sz w:val="24"/>
          <w:szCs w:val="24"/>
        </w:rPr>
        <w:t>以健康为中心</w:t>
      </w:r>
      <w:r>
        <w:rPr>
          <w:rFonts w:ascii="Times New Roman" w:hAnsi="Times New Roman" w:eastAsia="宋体" w:cs="Times New Roman"/>
          <w:sz w:val="24"/>
          <w:szCs w:val="24"/>
        </w:rPr>
        <w:t>”“</w:t>
      </w:r>
      <w:r>
        <w:rPr>
          <w:rFonts w:hint="eastAsia" w:ascii="Times New Roman" w:hAnsi="Times New Roman" w:eastAsia="宋体" w:cs="Times New Roman"/>
          <w:sz w:val="24"/>
          <w:szCs w:val="24"/>
        </w:rPr>
        <w:t>营养多元</w:t>
      </w:r>
      <w:r>
        <w:rPr>
          <w:rFonts w:ascii="Times New Roman" w:hAnsi="Times New Roman" w:eastAsia="宋体" w:cs="Times New Roman"/>
          <w:sz w:val="24"/>
          <w:szCs w:val="24"/>
        </w:rPr>
        <w:t>”“</w:t>
      </w:r>
      <w:r>
        <w:rPr>
          <w:rFonts w:hint="eastAsia" w:ascii="Times New Roman" w:hAnsi="Times New Roman" w:eastAsia="宋体" w:cs="Times New Roman"/>
          <w:sz w:val="24"/>
          <w:szCs w:val="24"/>
        </w:rPr>
        <w:t>食物即药物</w:t>
      </w:r>
      <w:r>
        <w:rPr>
          <w:rFonts w:ascii="Times New Roman" w:hAnsi="Times New Roman" w:eastAsia="宋体" w:cs="Times New Roman"/>
          <w:sz w:val="24"/>
          <w:szCs w:val="24"/>
        </w:rPr>
        <w:t>”</w:t>
      </w:r>
      <w:r>
        <w:rPr>
          <w:rFonts w:hint="eastAsia" w:ascii="Times New Roman" w:hAnsi="Times New Roman" w:eastAsia="宋体" w:cs="Times New Roman"/>
          <w:sz w:val="24"/>
          <w:szCs w:val="24"/>
        </w:rPr>
        <w:t>等观点成为普遍共识。黄精这样的滋补药食同源品种，成为市场的主流。全国黄精产业连续三年超过药食同源类产品的平均增长率，一跃成为新兴发阿展的主流。</w:t>
      </w:r>
    </w:p>
    <w:p w14:paraId="791ED234">
      <w:pPr>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2</w:t>
      </w:r>
      <w:r>
        <w:rPr>
          <w:rFonts w:hint="eastAsia" w:ascii="Times New Roman" w:hAnsi="Times New Roman" w:eastAsia="宋体" w:cs="Times New Roman"/>
          <w:sz w:val="24"/>
          <w:szCs w:val="24"/>
        </w:rPr>
        <w:t>、编制标准的意义</w:t>
      </w:r>
    </w:p>
    <w:p w14:paraId="3985D202">
      <w:pPr>
        <w:spacing w:line="360" w:lineRule="auto"/>
        <w:ind w:firstLine="480" w:firstLineChars="200"/>
        <w:jc w:val="left"/>
        <w:rPr>
          <w:rFonts w:ascii="Times New Roman" w:hAnsi="Times New Roman" w:eastAsia="宋体" w:cs="Times New Roman"/>
          <w:sz w:val="24"/>
          <w:szCs w:val="24"/>
        </w:rPr>
      </w:pPr>
      <w:r>
        <w:rPr>
          <w:rFonts w:hint="eastAsia" w:ascii="Times New Roman" w:hAnsi="Times New Roman" w:eastAsia="宋体" w:cs="Times New Roman"/>
          <w:sz w:val="24"/>
          <w:szCs w:val="24"/>
        </w:rPr>
        <w:t>制订药食同源的黄精的绿色行业标准将有利于提高我省黄精在国内、外的产品的质量，有利于提高产品竞争力，增加销售（出口）的数量和价格。塑造一批绿色生态产品生产企业形象。也有利于我省黄精产业和品牌的建立</w:t>
      </w:r>
      <w:r>
        <w:rPr>
          <w:rFonts w:ascii="Times New Roman" w:hAnsi="Times New Roman" w:eastAsia="宋体" w:cs="Times New Roman"/>
          <w:sz w:val="24"/>
          <w:szCs w:val="24"/>
        </w:rPr>
        <w:t xml:space="preserve"> </w:t>
      </w:r>
      <w:r>
        <w:rPr>
          <w:rFonts w:hint="eastAsia" w:ascii="Times New Roman" w:hAnsi="Times New Roman" w:eastAsia="宋体" w:cs="Times New Roman"/>
          <w:sz w:val="24"/>
          <w:szCs w:val="24"/>
        </w:rPr>
        <w:t>。</w:t>
      </w:r>
    </w:p>
    <w:p w14:paraId="15AC49D2">
      <w:pPr>
        <w:pStyle w:val="44"/>
        <w:numPr>
          <w:ilvl w:val="0"/>
          <w:numId w:val="1"/>
        </w:numPr>
        <w:spacing w:line="360" w:lineRule="auto"/>
        <w:ind w:left="0" w:firstLine="0" w:firstLineChars="0"/>
        <w:jc w:val="left"/>
        <w:rPr>
          <w:rFonts w:ascii="Times New Roman" w:hAnsi="Times New Roman" w:eastAsia="宋体" w:cs="Times New Roman"/>
          <w:b/>
          <w:sz w:val="24"/>
          <w:szCs w:val="24"/>
        </w:rPr>
      </w:pPr>
      <w:r>
        <w:rPr>
          <w:rFonts w:hint="eastAsia" w:ascii="Times New Roman" w:hAnsi="Times New Roman" w:eastAsia="宋体" w:cs="Times New Roman"/>
          <w:b/>
          <w:sz w:val="24"/>
          <w:szCs w:val="24"/>
        </w:rPr>
        <w:t>标准编制原则</w:t>
      </w:r>
    </w:p>
    <w:p w14:paraId="1E587120">
      <w:pPr>
        <w:spacing w:line="360" w:lineRule="auto"/>
        <w:ind w:firstLine="480" w:firstLineChars="200"/>
        <w:jc w:val="left"/>
        <w:rPr>
          <w:rFonts w:ascii="Times New Roman" w:hAnsi="Times New Roman" w:eastAsia="宋体" w:cs="Times New Roman"/>
          <w:sz w:val="24"/>
          <w:szCs w:val="24"/>
        </w:rPr>
      </w:pPr>
      <w:r>
        <w:rPr>
          <w:rFonts w:hint="eastAsia" w:ascii="Times New Roman" w:hAnsi="Times New Roman" w:eastAsia="宋体" w:cs="Times New Roman"/>
          <w:sz w:val="24"/>
          <w:szCs w:val="24"/>
        </w:rPr>
        <w:t>以江西黄精生态高效种植的绿色产品的实践与实际，并结合文献资料，遵循科学性、系统性、可操作性、规范性、程序性等原则制定本标准。</w:t>
      </w:r>
    </w:p>
    <w:p w14:paraId="060E94DF">
      <w:pPr>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1</w:t>
      </w:r>
      <w:r>
        <w:rPr>
          <w:rFonts w:hint="eastAsia" w:ascii="Times New Roman" w:hAnsi="Times New Roman" w:eastAsia="宋体" w:cs="Times New Roman"/>
          <w:sz w:val="24"/>
          <w:szCs w:val="24"/>
        </w:rPr>
        <w:t>、符合性：符合资源节约、环境保护、生态协调、质量领先要求，定位和内涵应符合《“江西绿色生态”品牌评价通用要求》（</w:t>
      </w:r>
      <w:r>
        <w:rPr>
          <w:rFonts w:ascii="Times New Roman" w:hAnsi="Times New Roman" w:eastAsia="宋体" w:cs="Times New Roman"/>
          <w:sz w:val="24"/>
          <w:szCs w:val="24"/>
        </w:rPr>
        <w:t>DB36/T1138</w:t>
      </w:r>
      <w:r>
        <w:rPr>
          <w:rFonts w:hint="eastAsia" w:ascii="Times New Roman" w:hAnsi="Times New Roman" w:eastAsia="宋体" w:cs="Times New Roman"/>
          <w:sz w:val="24"/>
          <w:szCs w:val="24"/>
        </w:rPr>
        <w:t>）。“江西绿色生态”标准应符合有关法律、法规和规章的规定，符合国家和本省相关产业发展政策，符合有关强制性标准。</w:t>
      </w:r>
    </w:p>
    <w:p w14:paraId="6E6419EA">
      <w:pPr>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2</w:t>
      </w:r>
      <w:r>
        <w:rPr>
          <w:rFonts w:hint="eastAsia" w:ascii="Times New Roman" w:hAnsi="Times New Roman" w:eastAsia="宋体" w:cs="Times New Roman"/>
          <w:sz w:val="24"/>
          <w:szCs w:val="24"/>
        </w:rPr>
        <w:t>、科学先进性：在标准编制中充分吸收最新研究成果和先进技术，制订出科学、合理的指标与技术措施。按《“江西绿色生态”品牌评价通用要求》（</w:t>
      </w:r>
      <w:r>
        <w:rPr>
          <w:rFonts w:ascii="Times New Roman" w:hAnsi="Times New Roman" w:eastAsia="宋体" w:cs="Times New Roman"/>
          <w:sz w:val="24"/>
          <w:szCs w:val="24"/>
        </w:rPr>
        <w:t>DB36</w:t>
      </w:r>
    </w:p>
    <w:p w14:paraId="3DD84052">
      <w:pPr>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/T1138</w:t>
      </w:r>
      <w:r>
        <w:rPr>
          <w:rFonts w:hint="eastAsia" w:ascii="Times New Roman" w:hAnsi="Times New Roman" w:eastAsia="宋体" w:cs="Times New Roman"/>
          <w:sz w:val="24"/>
          <w:szCs w:val="24"/>
        </w:rPr>
        <w:t>）要求，主要技术指标应达到国内先进水平。</w:t>
      </w:r>
    </w:p>
    <w:p w14:paraId="62AB5685">
      <w:pPr>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3</w:t>
      </w:r>
      <w:r>
        <w:rPr>
          <w:rFonts w:hint="eastAsia" w:ascii="Times New Roman" w:hAnsi="Times New Roman" w:eastAsia="宋体" w:cs="Times New Roman"/>
          <w:sz w:val="24"/>
          <w:szCs w:val="24"/>
        </w:rPr>
        <w:t>、系统性：在标准编制过程坚持各个环节协调一致，保持良好的相容性。</w:t>
      </w:r>
    </w:p>
    <w:p w14:paraId="21F0EA9A">
      <w:pPr>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4</w:t>
      </w:r>
      <w:r>
        <w:rPr>
          <w:rFonts w:hint="eastAsia" w:ascii="Times New Roman" w:hAnsi="Times New Roman" w:eastAsia="宋体" w:cs="Times New Roman"/>
          <w:sz w:val="24"/>
          <w:szCs w:val="24"/>
        </w:rPr>
        <w:t>、适用可操作性：力求标准的条款表述明确无歧义，简便明了易理解和操作，排除人为的随意性。</w:t>
      </w:r>
    </w:p>
    <w:p w14:paraId="103FB930">
      <w:pPr>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5</w:t>
      </w:r>
      <w:r>
        <w:rPr>
          <w:rFonts w:hint="eastAsia" w:ascii="Times New Roman" w:hAnsi="Times New Roman" w:eastAsia="宋体" w:cs="Times New Roman"/>
          <w:sz w:val="24"/>
          <w:szCs w:val="24"/>
        </w:rPr>
        <w:t>、规范性：标准内容的编写顺序、标牌格式、章节划分以及编号等力求符合</w:t>
      </w:r>
      <w:r>
        <w:rPr>
          <w:rFonts w:ascii="Times New Roman" w:hAnsi="Times New Roman" w:eastAsia="宋体" w:cs="Times New Roman"/>
          <w:sz w:val="24"/>
          <w:szCs w:val="24"/>
        </w:rPr>
        <w:t>GB/T1.</w:t>
      </w:r>
      <w:r>
        <w:rPr>
          <w:rFonts w:hint="eastAsia" w:ascii="Times New Roman" w:hAnsi="Times New Roman" w:eastAsia="宋体" w:cs="Times New Roman"/>
          <w:sz w:val="24"/>
        </w:rPr>
        <w:t>系列标准的要求</w:t>
      </w:r>
      <w:r>
        <w:rPr>
          <w:rFonts w:hint="eastAsia" w:ascii="Times New Roman" w:hAnsi="Times New Roman" w:eastAsia="宋体" w:cs="Times New Roman"/>
          <w:sz w:val="24"/>
          <w:szCs w:val="24"/>
        </w:rPr>
        <w:t>。</w:t>
      </w:r>
    </w:p>
    <w:p w14:paraId="4A4422AF">
      <w:pPr>
        <w:pStyle w:val="44"/>
        <w:numPr>
          <w:ilvl w:val="0"/>
          <w:numId w:val="1"/>
        </w:numPr>
        <w:spacing w:line="360" w:lineRule="auto"/>
        <w:ind w:left="0" w:firstLine="0" w:firstLineChars="0"/>
        <w:jc w:val="left"/>
        <w:rPr>
          <w:rFonts w:ascii="Times New Roman" w:hAnsi="Times New Roman" w:eastAsia="宋体" w:cs="Times New Roman"/>
          <w:b/>
          <w:sz w:val="24"/>
          <w:szCs w:val="24"/>
        </w:rPr>
      </w:pPr>
      <w:r>
        <w:rPr>
          <w:rFonts w:hint="eastAsia" w:ascii="Times New Roman" w:hAnsi="Times New Roman" w:eastAsia="宋体" w:cs="Times New Roman"/>
          <w:b/>
          <w:sz w:val="24"/>
          <w:szCs w:val="24"/>
        </w:rPr>
        <w:t>标准编制的主要内容</w:t>
      </w:r>
    </w:p>
    <w:p w14:paraId="306ED898">
      <w:pPr>
        <w:spacing w:line="360" w:lineRule="auto"/>
        <w:ind w:firstLine="480" w:firstLineChars="200"/>
        <w:jc w:val="left"/>
        <w:rPr>
          <w:rFonts w:ascii="Times New Roman" w:eastAsia="宋体"/>
          <w:sz w:val="24"/>
        </w:rPr>
      </w:pPr>
      <w:r>
        <w:rPr>
          <w:rFonts w:hint="eastAsia" w:ascii="Times New Roman" w:hAnsi="Times New Roman" w:eastAsia="宋体" w:cs="Times New Roman"/>
          <w:sz w:val="24"/>
          <w:szCs w:val="24"/>
        </w:rPr>
        <w:t>按照符合“江西绿色生态”品牌评价通用要求及本文件技术要求，并通过“江西绿色生态”品牌评价认证的黄精产品</w:t>
      </w:r>
      <w:bookmarkStart w:id="1" w:name="_Toc88653181"/>
      <w:r>
        <w:rPr>
          <w:rFonts w:hint="eastAsia" w:ascii="Times New Roman" w:hAnsi="Times New Roman" w:eastAsia="宋体" w:cs="Times New Roman"/>
          <w:sz w:val="24"/>
          <w:szCs w:val="24"/>
        </w:rPr>
        <w:t>。</w:t>
      </w:r>
    </w:p>
    <w:p w14:paraId="0BCA23F6">
      <w:pPr>
        <w:spacing w:line="360" w:lineRule="auto"/>
        <w:ind w:firstLine="480" w:firstLineChars="200"/>
        <w:jc w:val="left"/>
        <w:rPr>
          <w:rFonts w:ascii="Times New Roman" w:eastAsia="宋体"/>
          <w:sz w:val="24"/>
        </w:rPr>
      </w:pPr>
      <w:r>
        <w:rPr>
          <w:rFonts w:ascii="Times New Roman" w:hAnsi="Times New Roman" w:eastAsia="宋体" w:cs="Times New Roman"/>
          <w:sz w:val="24"/>
          <w:szCs w:val="24"/>
        </w:rPr>
        <w:t xml:space="preserve">6.1 </w:t>
      </w:r>
      <w:r>
        <w:rPr>
          <w:rFonts w:hint="eastAsia" w:ascii="Times New Roman" w:hAnsi="Times New Roman" w:eastAsia="宋体" w:cs="Times New Roman"/>
          <w:sz w:val="24"/>
          <w:szCs w:val="24"/>
        </w:rPr>
        <w:t>基本要求</w:t>
      </w:r>
    </w:p>
    <w:p w14:paraId="0A164EF3">
      <w:pPr>
        <w:spacing w:line="360" w:lineRule="auto"/>
        <w:ind w:firstLine="480" w:firstLineChars="200"/>
        <w:jc w:val="left"/>
        <w:rPr>
          <w:rFonts w:ascii="Times New Roman" w:hAnsi="Times New Roman" w:eastAsia="宋体" w:cs="Times New Roman"/>
          <w:sz w:val="24"/>
          <w:szCs w:val="24"/>
        </w:rPr>
      </w:pPr>
      <w:r>
        <w:rPr>
          <w:rFonts w:hint="eastAsia" w:ascii="Times New Roman" w:hAnsi="Times New Roman" w:eastAsia="宋体" w:cs="Times New Roman"/>
          <w:sz w:val="24"/>
          <w:szCs w:val="24"/>
        </w:rPr>
        <w:t>对品种、产地环境、生产栽培和初加工技术、生产管理过程应遵循的标准文件进行了规范。</w:t>
      </w:r>
    </w:p>
    <w:p w14:paraId="671D887A">
      <w:pPr>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 xml:space="preserve">6.2 </w:t>
      </w:r>
      <w:r>
        <w:rPr>
          <w:rFonts w:hint="eastAsia" w:ascii="Times New Roman" w:hAnsi="Times New Roman" w:eastAsia="宋体" w:cs="Times New Roman"/>
          <w:sz w:val="24"/>
          <w:szCs w:val="24"/>
        </w:rPr>
        <w:t>评价</w:t>
      </w:r>
    </w:p>
    <w:p w14:paraId="70EB3AC8">
      <w:pPr>
        <w:spacing w:line="360" w:lineRule="auto"/>
        <w:ind w:firstLine="480" w:firstLineChars="200"/>
        <w:jc w:val="left"/>
        <w:rPr>
          <w:rFonts w:ascii="Times New Roman" w:hAnsi="Times New Roman" w:eastAsia="宋体" w:cs="Times New Roman"/>
          <w:sz w:val="24"/>
          <w:szCs w:val="24"/>
        </w:rPr>
      </w:pPr>
      <w:r>
        <w:rPr>
          <w:rFonts w:hint="eastAsia" w:ascii="Times New Roman" w:hAnsi="Times New Roman" w:eastAsia="宋体" w:cs="Times New Roman"/>
          <w:sz w:val="24"/>
          <w:szCs w:val="24"/>
        </w:rPr>
        <w:t>根据标准要求，充分依据江西黄精的特有的遗传和地理、气候、土壤环境等共同形成的具江西区域特性的黄精产品特性，从资源节约属性指标、环境保护属性指标、生态协同属性指标和质量引领属性的一级指标的对应的二级标准进行了规定。</w:t>
      </w:r>
    </w:p>
    <w:p w14:paraId="42A3493F">
      <w:pPr>
        <w:spacing w:line="360" w:lineRule="auto"/>
        <w:ind w:firstLine="480" w:firstLineChars="200"/>
        <w:jc w:val="left"/>
        <w:rPr>
          <w:rFonts w:ascii="Times New Roman" w:hAnsi="Times New Roman" w:eastAsia="宋体" w:cs="Times New Roman"/>
          <w:sz w:val="24"/>
          <w:szCs w:val="24"/>
        </w:rPr>
      </w:pPr>
      <w:r>
        <w:rPr>
          <w:rFonts w:hint="eastAsia" w:ascii="Times New Roman" w:hAnsi="Times New Roman" w:eastAsia="宋体" w:cs="Times New Roman"/>
          <w:sz w:val="24"/>
          <w:szCs w:val="24"/>
        </w:rPr>
        <w:t>（</w:t>
      </w:r>
      <w:r>
        <w:rPr>
          <w:rFonts w:ascii="Times New Roman" w:hAnsi="Times New Roman" w:eastAsia="宋体" w:cs="Times New Roman"/>
          <w:sz w:val="24"/>
          <w:szCs w:val="24"/>
        </w:rPr>
        <w:t>1</w:t>
      </w:r>
      <w:r>
        <w:rPr>
          <w:rFonts w:hint="eastAsia" w:ascii="Times New Roman" w:hAnsi="Times New Roman" w:eastAsia="宋体" w:cs="Times New Roman"/>
          <w:sz w:val="24"/>
          <w:szCs w:val="24"/>
        </w:rPr>
        <w:t>）资源节约属性指标</w:t>
      </w:r>
    </w:p>
    <w:p w14:paraId="2AE8FA29">
      <w:pPr>
        <w:spacing w:line="360" w:lineRule="auto"/>
        <w:ind w:firstLine="480" w:firstLineChars="200"/>
        <w:jc w:val="left"/>
        <w:rPr>
          <w:rFonts w:ascii="Times New Roman" w:hAnsi="Times New Roman" w:eastAsia="宋体" w:cs="Times New Roman"/>
          <w:sz w:val="24"/>
          <w:szCs w:val="24"/>
        </w:rPr>
      </w:pPr>
      <w:r>
        <w:rPr>
          <w:rFonts w:hint="eastAsia" w:ascii="Times New Roman" w:hAnsi="Times New Roman" w:eastAsia="宋体" w:cs="Times New Roman"/>
          <w:sz w:val="24"/>
          <w:szCs w:val="24"/>
        </w:rPr>
        <w:t>从节水、机械应用、采收设备、包装材料上进行了规范。</w:t>
      </w:r>
    </w:p>
    <w:p w14:paraId="6BAE1859">
      <w:pPr>
        <w:spacing w:line="360" w:lineRule="auto"/>
        <w:ind w:firstLine="480" w:firstLineChars="200"/>
        <w:jc w:val="left"/>
        <w:rPr>
          <w:rFonts w:ascii="Times New Roman" w:hAnsi="Times New Roman" w:eastAsia="宋体" w:cs="Times New Roman"/>
          <w:sz w:val="24"/>
          <w:szCs w:val="24"/>
        </w:rPr>
      </w:pPr>
      <w:r>
        <w:rPr>
          <w:rFonts w:hint="eastAsia" w:ascii="Times New Roman" w:hAnsi="Times New Roman" w:eastAsia="宋体" w:cs="Times New Roman"/>
          <w:sz w:val="24"/>
          <w:szCs w:val="24"/>
        </w:rPr>
        <w:t>（</w:t>
      </w:r>
      <w:r>
        <w:rPr>
          <w:rFonts w:ascii="Times New Roman" w:hAnsi="Times New Roman" w:eastAsia="宋体" w:cs="Times New Roman"/>
          <w:sz w:val="24"/>
          <w:szCs w:val="24"/>
        </w:rPr>
        <w:t>2</w:t>
      </w:r>
      <w:r>
        <w:rPr>
          <w:rFonts w:hint="eastAsia" w:ascii="Times New Roman" w:hAnsi="Times New Roman" w:eastAsia="宋体" w:cs="Times New Roman"/>
          <w:sz w:val="24"/>
          <w:szCs w:val="24"/>
        </w:rPr>
        <w:t>）环境保护属性指标</w:t>
      </w:r>
    </w:p>
    <w:p w14:paraId="38673281">
      <w:pPr>
        <w:spacing w:line="360" w:lineRule="auto"/>
        <w:ind w:firstLine="480" w:firstLineChars="200"/>
        <w:jc w:val="left"/>
        <w:rPr>
          <w:rFonts w:ascii="Times New Roman" w:hAnsi="Times New Roman" w:eastAsia="宋体" w:cs="Times New Roman"/>
          <w:sz w:val="24"/>
          <w:szCs w:val="24"/>
        </w:rPr>
      </w:pPr>
      <w:r>
        <w:rPr>
          <w:rFonts w:hint="eastAsia" w:ascii="Times New Roman" w:hAnsi="Times New Roman" w:eastAsia="宋体" w:cs="Times New Roman"/>
          <w:sz w:val="24"/>
          <w:szCs w:val="24"/>
        </w:rPr>
        <w:t>对用林地、山地及空间利用，化肥、农药的减施、标施，绿色生态病虫害防控生态等进行了阐述。</w:t>
      </w:r>
    </w:p>
    <w:p w14:paraId="6F1D6ACA">
      <w:pPr>
        <w:spacing w:line="360" w:lineRule="auto"/>
        <w:ind w:firstLine="480" w:firstLineChars="200"/>
        <w:jc w:val="left"/>
        <w:rPr>
          <w:rFonts w:ascii="Times New Roman" w:hAnsi="Times New Roman" w:eastAsia="宋体" w:cs="Times New Roman"/>
          <w:sz w:val="24"/>
          <w:szCs w:val="24"/>
        </w:rPr>
      </w:pPr>
      <w:r>
        <w:rPr>
          <w:rFonts w:hint="eastAsia" w:ascii="Times New Roman" w:hAnsi="Times New Roman" w:eastAsia="宋体" w:cs="Times New Roman"/>
          <w:sz w:val="24"/>
          <w:szCs w:val="24"/>
        </w:rPr>
        <w:t>（</w:t>
      </w:r>
      <w:r>
        <w:rPr>
          <w:rFonts w:ascii="Times New Roman" w:hAnsi="Times New Roman" w:eastAsia="宋体" w:cs="Times New Roman"/>
          <w:sz w:val="24"/>
          <w:szCs w:val="24"/>
        </w:rPr>
        <w:t>3</w:t>
      </w:r>
      <w:r>
        <w:rPr>
          <w:rFonts w:hint="eastAsia" w:ascii="Times New Roman" w:hAnsi="Times New Roman" w:eastAsia="宋体" w:cs="Times New Roman"/>
          <w:sz w:val="24"/>
          <w:szCs w:val="24"/>
        </w:rPr>
        <w:t>）协同属性指标</w:t>
      </w:r>
    </w:p>
    <w:p w14:paraId="1D360FE9">
      <w:pPr>
        <w:spacing w:line="360" w:lineRule="auto"/>
        <w:ind w:firstLine="480" w:firstLineChars="200"/>
        <w:jc w:val="left"/>
        <w:rPr>
          <w:rFonts w:ascii="Times New Roman" w:hAnsi="Times New Roman" w:eastAsia="宋体" w:cs="Times New Roman"/>
          <w:sz w:val="24"/>
          <w:szCs w:val="24"/>
        </w:rPr>
      </w:pPr>
      <w:r>
        <w:rPr>
          <w:rFonts w:hint="eastAsia" w:ascii="Times New Roman" w:hAnsi="Times New Roman" w:eastAsia="宋体" w:cs="Times New Roman"/>
          <w:sz w:val="24"/>
          <w:szCs w:val="24"/>
        </w:rPr>
        <w:t>分别就：与环境友好、科学规划、人与自然互动等进行了表述。</w:t>
      </w:r>
    </w:p>
    <w:p w14:paraId="2A02212B">
      <w:pPr>
        <w:spacing w:line="360" w:lineRule="auto"/>
        <w:ind w:firstLine="480" w:firstLineChars="200"/>
        <w:jc w:val="left"/>
        <w:rPr>
          <w:rFonts w:ascii="Times New Roman" w:hAnsi="Times New Roman" w:eastAsia="宋体" w:cs="Times New Roman"/>
          <w:sz w:val="24"/>
          <w:szCs w:val="24"/>
        </w:rPr>
      </w:pPr>
      <w:r>
        <w:rPr>
          <w:rFonts w:hint="eastAsia" w:ascii="Times New Roman" w:hAnsi="Times New Roman" w:eastAsia="宋体" w:cs="Times New Roman"/>
          <w:sz w:val="24"/>
          <w:szCs w:val="24"/>
        </w:rPr>
        <w:t>（</w:t>
      </w:r>
      <w:r>
        <w:rPr>
          <w:rFonts w:ascii="Times New Roman" w:hAnsi="Times New Roman" w:eastAsia="宋体" w:cs="Times New Roman"/>
          <w:sz w:val="24"/>
          <w:szCs w:val="24"/>
        </w:rPr>
        <w:t>4</w:t>
      </w:r>
      <w:r>
        <w:rPr>
          <w:rFonts w:hint="eastAsia" w:ascii="Times New Roman" w:hAnsi="Times New Roman" w:eastAsia="宋体" w:cs="Times New Roman"/>
          <w:sz w:val="24"/>
          <w:szCs w:val="24"/>
        </w:rPr>
        <w:t>）质量引领属性指标</w:t>
      </w:r>
    </w:p>
    <w:p w14:paraId="1C30E6AA">
      <w:pPr>
        <w:spacing w:line="360" w:lineRule="auto"/>
        <w:ind w:firstLine="480" w:firstLineChars="200"/>
        <w:jc w:val="left"/>
        <w:rPr>
          <w:rFonts w:ascii="Times New Roman" w:hAnsi="Times New Roman" w:eastAsia="宋体" w:cs="Times New Roman"/>
          <w:sz w:val="24"/>
        </w:rPr>
      </w:pPr>
      <w:r>
        <w:rPr>
          <w:rFonts w:hint="eastAsia" w:ascii="Times New Roman" w:hAnsi="Times New Roman" w:eastAsia="宋体" w:cs="Times New Roman"/>
          <w:sz w:val="24"/>
          <w:szCs w:val="24"/>
        </w:rPr>
        <w:t>感官指标：从色泽、外观、断面、质地、气味等做出了描述。</w:t>
      </w:r>
    </w:p>
    <w:bookmarkEnd w:id="1"/>
    <w:p w14:paraId="6714AC27">
      <w:pPr>
        <w:pStyle w:val="44"/>
        <w:numPr>
          <w:ilvl w:val="0"/>
          <w:numId w:val="1"/>
        </w:numPr>
        <w:spacing w:line="360" w:lineRule="auto"/>
        <w:ind w:left="0" w:firstLine="0" w:firstLineChars="0"/>
        <w:jc w:val="left"/>
        <w:rPr>
          <w:rFonts w:ascii="Times New Roman" w:hAnsi="Times New Roman" w:eastAsia="宋体" w:cs="Times New Roman"/>
          <w:b/>
          <w:sz w:val="24"/>
          <w:szCs w:val="24"/>
        </w:rPr>
      </w:pPr>
      <w:r>
        <w:rPr>
          <w:rFonts w:hint="eastAsia" w:ascii="Times New Roman" w:hAnsi="Times New Roman" w:eastAsia="宋体" w:cs="Times New Roman"/>
          <w:b/>
          <w:sz w:val="24"/>
          <w:szCs w:val="24"/>
        </w:rPr>
        <w:t>主要资料的调查和收集</w:t>
      </w:r>
    </w:p>
    <w:p w14:paraId="72F2ED22">
      <w:pPr>
        <w:pStyle w:val="44"/>
        <w:spacing w:line="360" w:lineRule="auto"/>
        <w:ind w:firstLine="480"/>
        <w:jc w:val="left"/>
        <w:rPr>
          <w:rFonts w:ascii="Times New Roman" w:hAnsi="Times New Roman" w:eastAsia="宋体" w:cs="Times New Roman"/>
          <w:bCs/>
          <w:sz w:val="24"/>
          <w:szCs w:val="24"/>
        </w:rPr>
      </w:pPr>
      <w:r>
        <w:rPr>
          <w:rFonts w:ascii="Times New Roman" w:hAnsi="Times New Roman" w:eastAsia="宋体" w:cs="Times New Roman"/>
          <w:bCs/>
          <w:sz w:val="24"/>
          <w:szCs w:val="24"/>
        </w:rPr>
        <w:t xml:space="preserve">7.1 </w:t>
      </w:r>
      <w:r>
        <w:rPr>
          <w:rFonts w:hint="eastAsia" w:ascii="Times New Roman" w:hAnsi="Times New Roman" w:eastAsia="宋体" w:cs="Times New Roman"/>
          <w:bCs/>
          <w:sz w:val="24"/>
          <w:szCs w:val="24"/>
        </w:rPr>
        <w:t>基本要求</w:t>
      </w:r>
    </w:p>
    <w:p w14:paraId="1A1529BD">
      <w:pPr>
        <w:pStyle w:val="59"/>
        <w:autoSpaceDE/>
        <w:autoSpaceDN/>
        <w:spacing w:line="360" w:lineRule="auto"/>
        <w:ind w:firstLine="480"/>
        <w:rPr>
          <w:rFonts w:ascii="Times New Roman" w:hAnsi="Times New Roman" w:eastAsia="宋体" w:cs="Times New Roman"/>
          <w:sz w:val="24"/>
          <w:szCs w:val="24"/>
        </w:rPr>
      </w:pPr>
      <w:r>
        <w:rPr>
          <w:rFonts w:hint="eastAsia" w:ascii="Times New Roman" w:hAnsi="Times New Roman" w:eastAsia="宋体" w:cs="Times New Roman"/>
          <w:sz w:val="24"/>
          <w:szCs w:val="24"/>
        </w:rPr>
        <w:t>基本要求中最重要的是做了品种的规定，其来源主要是本草考证、生物生态学特性及已有种植的现状。其余产地环境空气质量应符合</w:t>
      </w:r>
      <w:r>
        <w:rPr>
          <w:rFonts w:ascii="Times New Roman" w:hAnsi="Times New Roman" w:eastAsia="宋体" w:cs="Times New Roman"/>
          <w:sz w:val="24"/>
          <w:szCs w:val="24"/>
        </w:rPr>
        <w:t>GB 3095</w:t>
      </w:r>
      <w:r>
        <w:rPr>
          <w:rFonts w:hint="eastAsia" w:ascii="Times New Roman" w:hAnsi="Times New Roman" w:eastAsia="宋体" w:cs="Times New Roman"/>
          <w:sz w:val="24"/>
          <w:szCs w:val="24"/>
        </w:rPr>
        <w:t>二级要求，土壤符合</w:t>
      </w:r>
      <w:r>
        <w:rPr>
          <w:rFonts w:ascii="Times New Roman" w:hAnsi="Times New Roman" w:eastAsia="宋体" w:cs="Times New Roman"/>
          <w:sz w:val="24"/>
          <w:szCs w:val="24"/>
        </w:rPr>
        <w:t>GB 15618</w:t>
      </w:r>
      <w:r>
        <w:rPr>
          <w:rFonts w:hint="eastAsia" w:ascii="Times New Roman" w:hAnsi="Times New Roman" w:eastAsia="宋体" w:cs="Times New Roman"/>
          <w:sz w:val="24"/>
          <w:szCs w:val="24"/>
        </w:rPr>
        <w:t>的二级要求，灌溉水符合</w:t>
      </w:r>
      <w:r>
        <w:rPr>
          <w:rFonts w:ascii="Times New Roman" w:hAnsi="Times New Roman" w:eastAsia="宋体" w:cs="Times New Roman"/>
          <w:sz w:val="24"/>
          <w:szCs w:val="24"/>
        </w:rPr>
        <w:t>GB 5084</w:t>
      </w:r>
      <w:r>
        <w:rPr>
          <w:rFonts w:hint="eastAsia" w:ascii="Times New Roman" w:hAnsi="Times New Roman" w:eastAsia="宋体" w:cs="Times New Roman"/>
          <w:sz w:val="24"/>
          <w:szCs w:val="24"/>
        </w:rPr>
        <w:t>的要求，加工用水符合</w:t>
      </w:r>
      <w:r>
        <w:rPr>
          <w:rFonts w:ascii="Times New Roman" w:hAnsi="Times New Roman" w:eastAsia="宋体" w:cs="Times New Roman"/>
          <w:sz w:val="24"/>
          <w:szCs w:val="24"/>
        </w:rPr>
        <w:t>GB 5749</w:t>
      </w:r>
      <w:r>
        <w:rPr>
          <w:rFonts w:hint="eastAsia" w:ascii="Times New Roman" w:hAnsi="Times New Roman" w:eastAsia="宋体" w:cs="Times New Roman"/>
          <w:sz w:val="24"/>
          <w:szCs w:val="24"/>
        </w:rPr>
        <w:t>的要求。生产栽培和产地初加工技术应符合</w:t>
      </w:r>
      <w:bookmarkStart w:id="2" w:name="_Hlk89371975"/>
      <w:r>
        <w:rPr>
          <w:rFonts w:ascii="Times New Roman" w:hAnsi="Times New Roman" w:eastAsia="宋体" w:cs="Times New Roman"/>
          <w:sz w:val="24"/>
          <w:szCs w:val="24"/>
        </w:rPr>
        <w:t>DB36T 1270</w:t>
      </w:r>
      <w:bookmarkEnd w:id="2"/>
      <w:r>
        <w:rPr>
          <w:rFonts w:hint="eastAsia" w:ascii="Times New Roman" w:hAnsi="Times New Roman" w:eastAsia="宋体" w:cs="Times New Roman"/>
          <w:sz w:val="24"/>
          <w:szCs w:val="24"/>
        </w:rPr>
        <w:t>的要求；药用黄精生产管理过程还应符合《中药材生产质量管理规范》的规定；食用黄精生产管理过程应符合国家食品生产许可有关规定。</w:t>
      </w:r>
    </w:p>
    <w:p w14:paraId="104B6056">
      <w:pPr>
        <w:pStyle w:val="44"/>
        <w:numPr>
          <w:ilvl w:val="255"/>
          <w:numId w:val="0"/>
        </w:numPr>
        <w:spacing w:line="360" w:lineRule="auto"/>
        <w:ind w:firstLine="480" w:firstLineChars="200"/>
        <w:jc w:val="left"/>
        <w:rPr>
          <w:rFonts w:ascii="Times New Roman" w:hAnsi="Times New Roman" w:eastAsia="宋体" w:cs="Times New Roman"/>
          <w:b/>
          <w:sz w:val="24"/>
          <w:szCs w:val="24"/>
        </w:rPr>
      </w:pPr>
      <w:r>
        <w:rPr>
          <w:rFonts w:ascii="Times New Roman" w:hAnsi="Times New Roman" w:eastAsia="宋体" w:cs="Times New Roman"/>
          <w:sz w:val="24"/>
          <w:szCs w:val="24"/>
        </w:rPr>
        <w:t xml:space="preserve">7.2 </w:t>
      </w:r>
      <w:r>
        <w:rPr>
          <w:rFonts w:hint="eastAsia" w:ascii="Times New Roman" w:hAnsi="Times New Roman" w:eastAsia="宋体" w:cs="Times New Roman"/>
          <w:sz w:val="24"/>
          <w:szCs w:val="24"/>
        </w:rPr>
        <w:t>黄精本草考证与黄精种植物种及区划</w:t>
      </w:r>
    </w:p>
    <w:p w14:paraId="691E16F7">
      <w:pPr>
        <w:pStyle w:val="44"/>
        <w:spacing w:line="360" w:lineRule="auto"/>
        <w:ind w:firstLine="480"/>
        <w:rPr>
          <w:rFonts w:ascii="Times New Roman" w:hAnsi="Times New Roman" w:eastAsia="宋体" w:cs="Times New Roman"/>
          <w:bCs/>
          <w:sz w:val="24"/>
          <w:szCs w:val="24"/>
        </w:rPr>
      </w:pPr>
      <w:r>
        <w:rPr>
          <w:rFonts w:hint="eastAsia" w:ascii="Times New Roman" w:hAnsi="Times New Roman" w:eastAsia="宋体" w:cs="Times New Roman"/>
          <w:bCs/>
          <w:sz w:val="24"/>
          <w:szCs w:val="24"/>
        </w:rPr>
        <w:t>7.2.1 黄精种植物种与区划</w:t>
      </w:r>
    </w:p>
    <w:p w14:paraId="7B52B065">
      <w:pPr>
        <w:spacing w:line="360" w:lineRule="auto"/>
        <w:ind w:firstLine="480" w:firstLineChars="200"/>
        <w:rPr>
          <w:rFonts w:ascii="Times New Roman" w:hAnsi="Times New Roman" w:eastAsia="宋体" w:cs="Times New Roman"/>
          <w:b/>
          <w:sz w:val="24"/>
          <w:szCs w:val="21"/>
        </w:rPr>
      </w:pPr>
      <w:r>
        <w:rPr>
          <w:rFonts w:hint="eastAsia" w:ascii="Times New Roman" w:hAnsi="Times New Roman" w:eastAsia="宋体" w:cs="Times New Roman"/>
          <w:sz w:val="24"/>
          <w:szCs w:val="21"/>
        </w:rPr>
        <w:t>黄精正名始载于《名医别录》，实际上《神农本草经》中的女萎包含了黄精。药材药材自古以来存在多源性，宋代《证类本草》所收载的黄精图达</w:t>
      </w:r>
      <w:r>
        <w:rPr>
          <w:rFonts w:ascii="Times New Roman" w:hAnsi="Times New Roman" w:eastAsia="宋体" w:cs="Times New Roman"/>
          <w:sz w:val="24"/>
          <w:szCs w:val="21"/>
        </w:rPr>
        <w:t>10</w:t>
      </w:r>
      <w:r>
        <w:rPr>
          <w:rFonts w:hint="eastAsia" w:ascii="Times New Roman" w:hAnsi="Times New Roman" w:eastAsia="宋体" w:cs="Times New Roman"/>
          <w:sz w:val="24"/>
          <w:szCs w:val="21"/>
        </w:rPr>
        <w:t>幅之多，是该书中附图数量最多的一味中药。唐宋元明清强调叶对生为正精，民国时期以互生叶类群为主。</w:t>
      </w:r>
      <w:r>
        <w:rPr>
          <w:rFonts w:hint="eastAsia" w:ascii="Times New Roman" w:hAnsi="Times New Roman" w:eastAsia="宋体" w:cs="Times New Roman"/>
          <w:sz w:val="24"/>
          <w:szCs w:val="21"/>
          <w:highlight w:val="yellow"/>
        </w:rPr>
        <w:t>《中国中药资源志要》（</w:t>
      </w:r>
      <w:r>
        <w:rPr>
          <w:rFonts w:ascii="Times New Roman" w:hAnsi="Times New Roman" w:eastAsia="宋体" w:cs="Times New Roman"/>
          <w:sz w:val="24"/>
          <w:szCs w:val="21"/>
          <w:highlight w:val="yellow"/>
        </w:rPr>
        <w:t>1994</w:t>
      </w:r>
      <w:r>
        <w:rPr>
          <w:rFonts w:hint="eastAsia" w:ascii="Times New Roman" w:hAnsi="Times New Roman" w:eastAsia="宋体" w:cs="Times New Roman"/>
          <w:sz w:val="24"/>
          <w:szCs w:val="21"/>
          <w:highlight w:val="yellow"/>
        </w:rPr>
        <w:t>年）记载</w:t>
      </w:r>
      <w:r>
        <w:rPr>
          <w:rFonts w:ascii="Times New Roman" w:hAnsi="Times New Roman" w:eastAsia="宋体" w:cs="Times New Roman"/>
          <w:sz w:val="24"/>
          <w:szCs w:val="21"/>
          <w:highlight w:val="yellow"/>
        </w:rPr>
        <w:t>17</w:t>
      </w:r>
      <w:r>
        <w:rPr>
          <w:rFonts w:hint="eastAsia" w:ascii="Times New Roman" w:hAnsi="Times New Roman" w:eastAsia="宋体" w:cs="Times New Roman"/>
          <w:sz w:val="24"/>
          <w:szCs w:val="21"/>
          <w:highlight w:val="yellow"/>
        </w:rPr>
        <w:t>种黄精属植物作黄精药用</w:t>
      </w:r>
      <w:r>
        <w:rPr>
          <w:rFonts w:hint="eastAsia" w:ascii="Times New Roman" w:hAnsi="Times New Roman" w:eastAsia="宋体" w:cs="Times New Roman"/>
          <w:sz w:val="24"/>
          <w:szCs w:val="21"/>
        </w:rPr>
        <w:t>。</w:t>
      </w:r>
      <w:r>
        <w:rPr>
          <w:rFonts w:hint="eastAsia" w:ascii="Times New Roman" w:hAnsi="Times New Roman" w:eastAsia="宋体" w:cs="Times New Roman"/>
          <w:sz w:val="24"/>
          <w:szCs w:val="21"/>
          <w:highlight w:val="yellow"/>
        </w:rPr>
        <w:t>《全国中草药名鉴》（</w:t>
      </w:r>
      <w:r>
        <w:rPr>
          <w:rFonts w:ascii="Times New Roman" w:hAnsi="Times New Roman" w:eastAsia="宋体" w:cs="Times New Roman"/>
          <w:sz w:val="24"/>
          <w:szCs w:val="21"/>
          <w:highlight w:val="yellow"/>
        </w:rPr>
        <w:t>1996</w:t>
      </w:r>
      <w:r>
        <w:rPr>
          <w:rFonts w:hint="eastAsia" w:ascii="Times New Roman" w:hAnsi="Times New Roman" w:eastAsia="宋体" w:cs="Times New Roman"/>
          <w:sz w:val="24"/>
          <w:szCs w:val="21"/>
          <w:highlight w:val="yellow"/>
        </w:rPr>
        <w:t>年）记载了</w:t>
      </w:r>
      <w:r>
        <w:rPr>
          <w:rFonts w:ascii="Times New Roman" w:hAnsi="Times New Roman" w:eastAsia="宋体" w:cs="Times New Roman"/>
          <w:sz w:val="24"/>
          <w:szCs w:val="21"/>
          <w:highlight w:val="yellow"/>
        </w:rPr>
        <w:t>8</w:t>
      </w:r>
      <w:r>
        <w:rPr>
          <w:rFonts w:hint="eastAsia" w:ascii="Times New Roman" w:hAnsi="Times New Roman" w:eastAsia="宋体" w:cs="Times New Roman"/>
          <w:sz w:val="24"/>
          <w:szCs w:val="21"/>
          <w:highlight w:val="yellow"/>
        </w:rPr>
        <w:t>种</w:t>
      </w:r>
      <w:r>
        <w:rPr>
          <w:rFonts w:hint="eastAsia" w:ascii="Times New Roman" w:hAnsi="Times New Roman" w:eastAsia="宋体" w:cs="Times New Roman"/>
          <w:sz w:val="24"/>
          <w:szCs w:val="21"/>
        </w:rPr>
        <w:t>。《中药大辞典》（</w:t>
      </w:r>
      <w:r>
        <w:rPr>
          <w:rFonts w:ascii="Times New Roman" w:hAnsi="Times New Roman" w:eastAsia="宋体" w:cs="Times New Roman"/>
          <w:sz w:val="24"/>
          <w:szCs w:val="21"/>
        </w:rPr>
        <w:t>2006</w:t>
      </w:r>
      <w:r>
        <w:rPr>
          <w:rFonts w:hint="eastAsia" w:ascii="Times New Roman" w:hAnsi="Times New Roman" w:eastAsia="宋体" w:cs="Times New Roman"/>
          <w:sz w:val="24"/>
          <w:szCs w:val="21"/>
        </w:rPr>
        <w:t>年）收载了黄精、囊丝黄精、热河黄精、滇黄精、卷叶黄精等</w:t>
      </w:r>
      <w:r>
        <w:rPr>
          <w:rFonts w:ascii="Times New Roman" w:hAnsi="Times New Roman" w:eastAsia="宋体" w:cs="Times New Roman"/>
          <w:sz w:val="24"/>
          <w:szCs w:val="21"/>
        </w:rPr>
        <w:t>5</w:t>
      </w:r>
      <w:r>
        <w:rPr>
          <w:rFonts w:hint="eastAsia" w:ascii="Times New Roman" w:hAnsi="Times New Roman" w:eastAsia="宋体" w:cs="Times New Roman"/>
          <w:sz w:val="24"/>
          <w:szCs w:val="21"/>
        </w:rPr>
        <w:t>种黄精属植物。</w:t>
      </w:r>
      <w:r>
        <w:rPr>
          <w:rFonts w:ascii="Times New Roman" w:hAnsi="Times New Roman" w:eastAsia="宋体" w:cs="Times New Roman"/>
          <w:sz w:val="24"/>
          <w:szCs w:val="21"/>
        </w:rPr>
        <w:t>2020</w:t>
      </w:r>
      <w:r>
        <w:rPr>
          <w:rFonts w:hint="eastAsia" w:ascii="Times New Roman" w:hAnsi="Times New Roman" w:eastAsia="宋体" w:cs="Times New Roman"/>
          <w:sz w:val="24"/>
          <w:szCs w:val="21"/>
        </w:rPr>
        <w:t>年版《中国药典》规定药用黄精来源于黄精、多花黄精和滇黄精精（包括大叶滇黄精）</w:t>
      </w:r>
      <w:r>
        <w:rPr>
          <w:rFonts w:ascii="Times New Roman" w:hAnsi="Times New Roman" w:eastAsia="宋体" w:cs="Times New Roman"/>
          <w:sz w:val="24"/>
          <w:szCs w:val="21"/>
        </w:rPr>
        <w:t>3</w:t>
      </w:r>
      <w:r>
        <w:rPr>
          <w:rFonts w:hint="eastAsia" w:ascii="Times New Roman" w:hAnsi="Times New Roman" w:eastAsia="宋体" w:cs="Times New Roman"/>
          <w:sz w:val="24"/>
          <w:szCs w:val="21"/>
        </w:rPr>
        <w:t>种黄精属植物。</w:t>
      </w:r>
    </w:p>
    <w:p w14:paraId="663A6DF2">
      <w:p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（一）多花黄精（图</w:t>
      </w:r>
      <w:r>
        <w:rPr>
          <w:rFonts w:ascii="Times New Roman" w:hAnsi="Times New Roman" w:eastAsia="宋体" w:cs="Times New Roman"/>
          <w:sz w:val="24"/>
          <w:szCs w:val="21"/>
        </w:rPr>
        <w:t>5.4</w:t>
      </w:r>
      <w:r>
        <w:rPr>
          <w:rFonts w:hint="eastAsia" w:ascii="Times New Roman" w:hAnsi="Times New Roman" w:eastAsia="宋体" w:cs="Times New Roman"/>
          <w:sz w:val="24"/>
          <w:szCs w:val="21"/>
        </w:rPr>
        <w:t>）</w:t>
      </w:r>
    </w:p>
    <w:p w14:paraId="0A951417">
      <w:pPr>
        <w:spacing w:line="360" w:lineRule="auto"/>
        <w:ind w:firstLine="480" w:firstLineChars="200"/>
        <w:rPr>
          <w:rFonts w:ascii="Times New Roman" w:hAnsi="Times New Roman" w:eastAsia="宋体" w:cs="Times New Roman"/>
          <w:sz w:val="24"/>
          <w:szCs w:val="21"/>
        </w:rPr>
      </w:pPr>
      <w:r>
        <w:rPr>
          <w:rFonts w:ascii="Times New Roman" w:hAnsi="Times New Roman" w:eastAsia="宋体" w:cs="Times New Roman"/>
          <w:i/>
          <w:iCs/>
          <w:sz w:val="24"/>
          <w:szCs w:val="21"/>
        </w:rPr>
        <w:t>Polygonatum cyrtonema</w:t>
      </w:r>
      <w:r>
        <w:rPr>
          <w:rFonts w:ascii="Times New Roman" w:hAnsi="Times New Roman" w:eastAsia="宋体" w:cs="Times New Roman"/>
          <w:sz w:val="24"/>
          <w:szCs w:val="21"/>
        </w:rPr>
        <w:t xml:space="preserve"> Hua in Journ de Bot. 6: 393 1892——</w:t>
      </w:r>
      <w:r>
        <w:rPr>
          <w:rFonts w:ascii="Times New Roman" w:hAnsi="Times New Roman" w:eastAsia="宋体" w:cs="Times New Roman"/>
          <w:i/>
          <w:iCs/>
          <w:sz w:val="24"/>
          <w:szCs w:val="21"/>
        </w:rPr>
        <w:t>P. henryi</w:t>
      </w:r>
      <w:r>
        <w:rPr>
          <w:rFonts w:ascii="Times New Roman" w:hAnsi="Times New Roman" w:eastAsia="宋体" w:cs="Times New Roman"/>
          <w:sz w:val="24"/>
          <w:szCs w:val="21"/>
        </w:rPr>
        <w:t xml:space="preserve"> Diels in Bot Jahrb 2: 247 1900 ——</w:t>
      </w:r>
      <w:r>
        <w:rPr>
          <w:rFonts w:ascii="Times New Roman" w:hAnsi="Times New Roman" w:eastAsia="宋体" w:cs="Times New Roman"/>
          <w:i/>
          <w:iCs/>
          <w:sz w:val="24"/>
          <w:szCs w:val="21"/>
        </w:rPr>
        <w:t>P. martini</w:t>
      </w:r>
      <w:r>
        <w:rPr>
          <w:rFonts w:ascii="Times New Roman" w:hAnsi="Times New Roman" w:eastAsia="宋体" w:cs="Times New Roman"/>
          <w:sz w:val="24"/>
          <w:szCs w:val="21"/>
        </w:rPr>
        <w:t xml:space="preserve"> Lévl in Bull Acad Interat Géogr 12: 262 1903—— </w:t>
      </w:r>
      <w:r>
        <w:rPr>
          <w:rFonts w:ascii="Times New Roman" w:hAnsi="Times New Roman" w:eastAsia="宋体" w:cs="Times New Roman"/>
          <w:i/>
          <w:iCs/>
          <w:sz w:val="24"/>
          <w:szCs w:val="21"/>
        </w:rPr>
        <w:t>P. multiflorum</w:t>
      </w:r>
      <w:r>
        <w:rPr>
          <w:rFonts w:ascii="Times New Roman" w:hAnsi="Times New Roman" w:eastAsia="宋体" w:cs="Times New Roman"/>
          <w:sz w:val="24"/>
          <w:szCs w:val="21"/>
        </w:rPr>
        <w:t xml:space="preserve"> All var. </w:t>
      </w:r>
      <w:r>
        <w:rPr>
          <w:rFonts w:ascii="Times New Roman" w:hAnsi="Times New Roman" w:eastAsia="宋体" w:cs="Times New Roman"/>
          <w:i/>
          <w:sz w:val="24"/>
          <w:szCs w:val="21"/>
        </w:rPr>
        <w:t>longifolium</w:t>
      </w:r>
      <w:r>
        <w:rPr>
          <w:rFonts w:ascii="Times New Roman" w:hAnsi="Times New Roman" w:eastAsia="宋体" w:cs="Times New Roman"/>
          <w:sz w:val="24"/>
          <w:szCs w:val="21"/>
        </w:rPr>
        <w:t xml:space="preserve"> Merr in Lingn Sci Journ 7: 299 1929;</w:t>
      </w:r>
      <w:r>
        <w:rPr>
          <w:rFonts w:hint="eastAsia" w:ascii="Times New Roman" w:hAnsi="Times New Roman" w:eastAsia="宋体" w:cs="Times New Roman"/>
          <w:sz w:val="24"/>
          <w:szCs w:val="21"/>
        </w:rPr>
        <w:t>中药志</w:t>
      </w:r>
      <w:r>
        <w:rPr>
          <w:rFonts w:ascii="Times New Roman" w:hAnsi="Times New Roman" w:eastAsia="宋体" w:cs="Times New Roman"/>
          <w:sz w:val="24"/>
          <w:szCs w:val="21"/>
        </w:rPr>
        <w:t xml:space="preserve">1: 465, </w:t>
      </w:r>
      <w:r>
        <w:rPr>
          <w:rFonts w:hint="eastAsia" w:ascii="Times New Roman" w:hAnsi="Times New Roman" w:eastAsia="宋体" w:cs="Times New Roman"/>
          <w:sz w:val="24"/>
          <w:szCs w:val="21"/>
        </w:rPr>
        <w:t>图</w:t>
      </w:r>
      <w:r>
        <w:rPr>
          <w:rFonts w:ascii="Times New Roman" w:hAnsi="Times New Roman" w:eastAsia="宋体" w:cs="Times New Roman"/>
          <w:sz w:val="24"/>
          <w:szCs w:val="21"/>
        </w:rPr>
        <w:t>301. 1959.——</w:t>
      </w:r>
      <w:r>
        <w:rPr>
          <w:rFonts w:ascii="Times New Roman" w:hAnsi="Times New Roman" w:eastAsia="宋体" w:cs="Times New Roman"/>
          <w:i/>
          <w:iCs/>
          <w:sz w:val="24"/>
          <w:szCs w:val="21"/>
        </w:rPr>
        <w:t>P. brachynema</w:t>
      </w:r>
      <w:r>
        <w:rPr>
          <w:rFonts w:ascii="Times New Roman" w:hAnsi="Times New Roman" w:eastAsia="宋体" w:cs="Times New Roman"/>
          <w:sz w:val="24"/>
          <w:szCs w:val="21"/>
        </w:rPr>
        <w:t xml:space="preserve"> Hand. –Mzt., Symb Sin 7: 1208 1936.——</w:t>
      </w:r>
      <w:r>
        <w:rPr>
          <w:rFonts w:ascii="Times New Roman" w:hAnsi="Times New Roman" w:eastAsia="宋体" w:cs="Times New Roman"/>
          <w:i/>
          <w:iCs/>
          <w:sz w:val="24"/>
          <w:szCs w:val="21"/>
        </w:rPr>
        <w:t>P. multiflorum</w:t>
      </w:r>
      <w:r>
        <w:rPr>
          <w:rFonts w:ascii="Times New Roman" w:hAnsi="Times New Roman" w:eastAsia="宋体" w:cs="Times New Roman"/>
          <w:sz w:val="24"/>
          <w:szCs w:val="21"/>
        </w:rPr>
        <w:t xml:space="preserve"> senso auct. fl Chin non All. </w:t>
      </w:r>
      <w:r>
        <w:rPr>
          <w:rFonts w:hint="eastAsia" w:ascii="Times New Roman" w:hAnsi="Times New Roman" w:eastAsia="宋体" w:cs="Times New Roman"/>
          <w:sz w:val="24"/>
          <w:szCs w:val="21"/>
        </w:rPr>
        <w:t>——</w:t>
      </w:r>
      <w:r>
        <w:rPr>
          <w:rFonts w:ascii="Times New Roman" w:hAnsi="Times New Roman" w:eastAsia="宋体" w:cs="Times New Roman"/>
          <w:i/>
          <w:iCs/>
          <w:sz w:val="24"/>
          <w:szCs w:val="21"/>
        </w:rPr>
        <w:t>P. giganteum</w:t>
      </w:r>
      <w:r>
        <w:rPr>
          <w:rFonts w:ascii="Times New Roman" w:hAnsi="Times New Roman" w:eastAsia="宋体" w:cs="Times New Roman"/>
          <w:sz w:val="24"/>
          <w:szCs w:val="21"/>
        </w:rPr>
        <w:t xml:space="preserve"> auct non Dietr.: Lévl., Nouv Contrib Liliac etc Chine 11: 1906</w:t>
      </w:r>
      <w:r>
        <w:rPr>
          <w:rFonts w:hint="eastAsia" w:ascii="Times New Roman" w:hAnsi="Times New Roman" w:eastAsia="宋体" w:cs="Times New Roman"/>
          <w:sz w:val="24"/>
          <w:szCs w:val="21"/>
        </w:rPr>
        <w:t>。</w:t>
      </w:r>
    </w:p>
    <w:p w14:paraId="6A756147">
      <w:p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根状茎肥厚，通常连珠状或结节成块，少有近圆柱形，直径</w:t>
      </w:r>
      <w:r>
        <w:rPr>
          <w:rFonts w:ascii="Times New Roman" w:hAnsi="Times New Roman" w:eastAsia="宋体" w:cs="Times New Roman"/>
          <w:sz w:val="24"/>
          <w:szCs w:val="21"/>
        </w:rPr>
        <w:t>1-2 cm</w:t>
      </w:r>
      <w:r>
        <w:rPr>
          <w:rFonts w:hint="eastAsia" w:ascii="Times New Roman" w:hAnsi="Times New Roman" w:eastAsia="宋体" w:cs="Times New Roman"/>
          <w:sz w:val="24"/>
          <w:szCs w:val="21"/>
        </w:rPr>
        <w:t>。茎高</w:t>
      </w:r>
      <w:r>
        <w:rPr>
          <w:rFonts w:ascii="Times New Roman" w:hAnsi="Times New Roman" w:eastAsia="宋体" w:cs="Times New Roman"/>
          <w:sz w:val="24"/>
          <w:szCs w:val="21"/>
        </w:rPr>
        <w:t>50-100 cm</w:t>
      </w:r>
      <w:r>
        <w:rPr>
          <w:rFonts w:hint="eastAsia" w:ascii="Times New Roman" w:hAnsi="Times New Roman" w:eastAsia="宋体" w:cs="Times New Roman"/>
          <w:sz w:val="24"/>
          <w:szCs w:val="21"/>
        </w:rPr>
        <w:t>，通常具</w:t>
      </w:r>
      <w:r>
        <w:rPr>
          <w:rFonts w:ascii="Times New Roman" w:hAnsi="Times New Roman" w:eastAsia="宋体" w:cs="Times New Roman"/>
          <w:sz w:val="24"/>
          <w:szCs w:val="21"/>
        </w:rPr>
        <w:t>10-15</w:t>
      </w:r>
      <w:r>
        <w:rPr>
          <w:rFonts w:hint="eastAsia" w:ascii="Times New Roman" w:hAnsi="Times New Roman" w:eastAsia="宋体" w:cs="Times New Roman"/>
          <w:sz w:val="24"/>
          <w:szCs w:val="21"/>
        </w:rPr>
        <w:t>枚叶。叶互生，椭圆形、卵状披针形至矩圆状披针形，少有稍作镰状弯曲，长</w:t>
      </w:r>
      <w:r>
        <w:rPr>
          <w:rFonts w:ascii="Times New Roman" w:hAnsi="Times New Roman" w:eastAsia="宋体" w:cs="Times New Roman"/>
          <w:sz w:val="24"/>
          <w:szCs w:val="21"/>
        </w:rPr>
        <w:t>10-18 cm</w:t>
      </w:r>
      <w:r>
        <w:rPr>
          <w:rFonts w:hint="eastAsia" w:ascii="Times New Roman" w:hAnsi="Times New Roman" w:eastAsia="宋体" w:cs="Times New Roman"/>
          <w:sz w:val="24"/>
          <w:szCs w:val="21"/>
        </w:rPr>
        <w:t>，宽</w:t>
      </w:r>
      <w:r>
        <w:rPr>
          <w:rFonts w:ascii="Times New Roman" w:hAnsi="Times New Roman" w:eastAsia="宋体" w:cs="Times New Roman"/>
          <w:sz w:val="24"/>
          <w:szCs w:val="21"/>
        </w:rPr>
        <w:t>2-7 cm</w:t>
      </w:r>
      <w:r>
        <w:rPr>
          <w:rFonts w:hint="eastAsia" w:ascii="Times New Roman" w:hAnsi="Times New Roman" w:eastAsia="宋体" w:cs="Times New Roman"/>
          <w:sz w:val="24"/>
          <w:szCs w:val="21"/>
        </w:rPr>
        <w:t>，先端尖至渐尖。花序具</w:t>
      </w:r>
      <w:r>
        <w:rPr>
          <w:rFonts w:ascii="Times New Roman" w:hAnsi="Times New Roman" w:eastAsia="宋体" w:cs="Times New Roman"/>
          <w:sz w:val="24"/>
          <w:szCs w:val="21"/>
        </w:rPr>
        <w:t>(1-</w:t>
      </w:r>
      <w:r>
        <w:rPr>
          <w:rFonts w:hint="eastAsia" w:ascii="Times New Roman" w:hAnsi="Times New Roman" w:eastAsia="宋体" w:cs="Times New Roman"/>
          <w:sz w:val="24"/>
          <w:szCs w:val="21"/>
        </w:rPr>
        <w:t>）</w:t>
      </w:r>
      <w:r>
        <w:rPr>
          <w:rFonts w:ascii="Times New Roman" w:hAnsi="Times New Roman" w:eastAsia="宋体" w:cs="Times New Roman"/>
          <w:sz w:val="24"/>
          <w:szCs w:val="21"/>
        </w:rPr>
        <w:t>2-7</w:t>
      </w:r>
      <w:r>
        <w:rPr>
          <w:rFonts w:hint="eastAsia" w:ascii="Times New Roman" w:hAnsi="Times New Roman" w:eastAsia="宋体" w:cs="Times New Roman"/>
          <w:sz w:val="24"/>
          <w:szCs w:val="21"/>
        </w:rPr>
        <w:t>（</w:t>
      </w:r>
      <w:r>
        <w:rPr>
          <w:rFonts w:ascii="Times New Roman" w:hAnsi="Times New Roman" w:eastAsia="宋体" w:cs="Times New Roman"/>
          <w:sz w:val="24"/>
          <w:szCs w:val="21"/>
        </w:rPr>
        <w:t>-14</w:t>
      </w:r>
      <w:r>
        <w:rPr>
          <w:rFonts w:hint="eastAsia" w:ascii="Times New Roman" w:hAnsi="Times New Roman" w:eastAsia="宋体" w:cs="Times New Roman"/>
          <w:sz w:val="24"/>
          <w:szCs w:val="21"/>
        </w:rPr>
        <w:t>）花，伞形，总花梗长</w:t>
      </w:r>
      <w:r>
        <w:rPr>
          <w:rFonts w:ascii="Times New Roman" w:hAnsi="Times New Roman" w:eastAsia="宋体" w:cs="Times New Roman"/>
          <w:sz w:val="24"/>
          <w:szCs w:val="21"/>
        </w:rPr>
        <w:t>1-4</w:t>
      </w:r>
      <w:r>
        <w:rPr>
          <w:rFonts w:hint="eastAsia" w:ascii="Times New Roman" w:hAnsi="Times New Roman" w:eastAsia="宋体" w:cs="Times New Roman"/>
          <w:sz w:val="24"/>
          <w:szCs w:val="21"/>
        </w:rPr>
        <w:t>（</w:t>
      </w:r>
      <w:r>
        <w:rPr>
          <w:rFonts w:ascii="Times New Roman" w:hAnsi="Times New Roman" w:eastAsia="宋体" w:cs="Times New Roman"/>
          <w:sz w:val="24"/>
          <w:szCs w:val="21"/>
        </w:rPr>
        <w:t>-6</w:t>
      </w:r>
      <w:r>
        <w:rPr>
          <w:rFonts w:hint="eastAsia" w:ascii="Times New Roman" w:hAnsi="Times New Roman" w:eastAsia="宋体" w:cs="Times New Roman"/>
          <w:sz w:val="24"/>
          <w:szCs w:val="21"/>
        </w:rPr>
        <w:t>）</w:t>
      </w:r>
      <w:r>
        <w:rPr>
          <w:rFonts w:ascii="Times New Roman" w:hAnsi="Times New Roman" w:eastAsia="宋体" w:cs="Times New Roman"/>
          <w:sz w:val="24"/>
          <w:szCs w:val="21"/>
        </w:rPr>
        <w:t xml:space="preserve"> cm</w:t>
      </w:r>
      <w:r>
        <w:rPr>
          <w:rFonts w:hint="eastAsia" w:ascii="Times New Roman" w:hAnsi="Times New Roman" w:eastAsia="宋体" w:cs="Times New Roman"/>
          <w:sz w:val="24"/>
          <w:szCs w:val="21"/>
        </w:rPr>
        <w:t>，花梗长</w:t>
      </w:r>
      <w:r>
        <w:rPr>
          <w:rFonts w:ascii="Times New Roman" w:hAnsi="Times New Roman" w:eastAsia="宋体" w:cs="Times New Roman"/>
          <w:sz w:val="24"/>
          <w:szCs w:val="21"/>
        </w:rPr>
        <w:t>0.5-1.5</w:t>
      </w:r>
      <w:r>
        <w:rPr>
          <w:rFonts w:hint="eastAsia" w:ascii="Times New Roman" w:hAnsi="Times New Roman" w:eastAsia="宋体" w:cs="Times New Roman"/>
          <w:sz w:val="24"/>
          <w:szCs w:val="21"/>
        </w:rPr>
        <w:t>（</w:t>
      </w:r>
      <w:r>
        <w:rPr>
          <w:rFonts w:ascii="Times New Roman" w:hAnsi="Times New Roman" w:eastAsia="宋体" w:cs="Times New Roman"/>
          <w:sz w:val="24"/>
          <w:szCs w:val="21"/>
        </w:rPr>
        <w:t>-3</w:t>
      </w:r>
      <w:r>
        <w:rPr>
          <w:rFonts w:hint="eastAsia" w:ascii="Times New Roman" w:hAnsi="Times New Roman" w:eastAsia="宋体" w:cs="Times New Roman"/>
          <w:sz w:val="24"/>
          <w:szCs w:val="21"/>
        </w:rPr>
        <w:t>）</w:t>
      </w:r>
      <w:r>
        <w:rPr>
          <w:rFonts w:ascii="Times New Roman" w:hAnsi="Times New Roman" w:eastAsia="宋体" w:cs="Times New Roman"/>
          <w:sz w:val="24"/>
          <w:szCs w:val="21"/>
        </w:rPr>
        <w:t xml:space="preserve"> cm</w:t>
      </w:r>
      <w:r>
        <w:rPr>
          <w:rFonts w:hint="eastAsia" w:ascii="Times New Roman" w:hAnsi="Times New Roman" w:eastAsia="宋体" w:cs="Times New Roman"/>
          <w:sz w:val="24"/>
          <w:szCs w:val="21"/>
        </w:rPr>
        <w:t>；苞片微小，位于花梗中部以下，或不存在；花被黄绿色，全长</w:t>
      </w:r>
      <w:r>
        <w:rPr>
          <w:rFonts w:ascii="Times New Roman" w:hAnsi="Times New Roman" w:eastAsia="宋体" w:cs="Times New Roman"/>
          <w:sz w:val="24"/>
          <w:szCs w:val="21"/>
        </w:rPr>
        <w:t>18-25 mm</w:t>
      </w:r>
      <w:r>
        <w:rPr>
          <w:rFonts w:hint="eastAsia" w:ascii="Times New Roman" w:hAnsi="Times New Roman" w:eastAsia="宋体" w:cs="Times New Roman"/>
          <w:sz w:val="24"/>
          <w:szCs w:val="21"/>
        </w:rPr>
        <w:t>，裂片长约</w:t>
      </w:r>
      <w:r>
        <w:rPr>
          <w:rFonts w:ascii="Times New Roman" w:hAnsi="Times New Roman" w:eastAsia="宋体" w:cs="Times New Roman"/>
          <w:sz w:val="24"/>
          <w:szCs w:val="21"/>
        </w:rPr>
        <w:t>3 mm</w:t>
      </w:r>
      <w:r>
        <w:rPr>
          <w:rFonts w:hint="eastAsia" w:ascii="Times New Roman" w:hAnsi="Times New Roman" w:eastAsia="宋体" w:cs="Times New Roman"/>
          <w:sz w:val="24"/>
          <w:szCs w:val="21"/>
        </w:rPr>
        <w:t>；花丝长</w:t>
      </w:r>
      <w:r>
        <w:rPr>
          <w:rFonts w:ascii="Times New Roman" w:hAnsi="Times New Roman" w:eastAsia="宋体" w:cs="Times New Roman"/>
          <w:sz w:val="24"/>
          <w:szCs w:val="21"/>
        </w:rPr>
        <w:t>3-4 mm</w:t>
      </w:r>
      <w:r>
        <w:rPr>
          <w:rFonts w:hint="eastAsia" w:ascii="Times New Roman" w:hAnsi="Times New Roman" w:eastAsia="宋体" w:cs="Times New Roman"/>
          <w:sz w:val="24"/>
          <w:szCs w:val="21"/>
        </w:rPr>
        <w:t>，两侧扁或稍扁，具乳头状突起至具短绵毛，顶端稍膨大乃至具囊状突起，花药长</w:t>
      </w:r>
      <w:r>
        <w:rPr>
          <w:rFonts w:ascii="Times New Roman" w:hAnsi="Times New Roman" w:eastAsia="宋体" w:cs="Times New Roman"/>
          <w:sz w:val="24"/>
          <w:szCs w:val="21"/>
        </w:rPr>
        <w:t>3.5-4 mm</w:t>
      </w:r>
      <w:r>
        <w:rPr>
          <w:rFonts w:hint="eastAsia" w:ascii="Times New Roman" w:hAnsi="Times New Roman" w:eastAsia="宋体" w:cs="Times New Roman"/>
          <w:sz w:val="24"/>
          <w:szCs w:val="21"/>
        </w:rPr>
        <w:t>；子房长</w:t>
      </w:r>
      <w:r>
        <w:rPr>
          <w:rFonts w:ascii="Times New Roman" w:hAnsi="Times New Roman" w:eastAsia="宋体" w:cs="Times New Roman"/>
          <w:sz w:val="24"/>
          <w:szCs w:val="21"/>
        </w:rPr>
        <w:t>3-6 mm</w:t>
      </w:r>
      <w:r>
        <w:rPr>
          <w:rFonts w:hint="eastAsia" w:ascii="Times New Roman" w:hAnsi="Times New Roman" w:eastAsia="宋体" w:cs="Times New Roman"/>
          <w:sz w:val="24"/>
          <w:szCs w:val="21"/>
        </w:rPr>
        <w:t>，花柱长</w:t>
      </w:r>
      <w:r>
        <w:rPr>
          <w:rFonts w:ascii="Times New Roman" w:hAnsi="Times New Roman" w:eastAsia="宋体" w:cs="Times New Roman"/>
          <w:sz w:val="24"/>
          <w:szCs w:val="21"/>
        </w:rPr>
        <w:t>12-15 mm</w:t>
      </w:r>
      <w:r>
        <w:rPr>
          <w:rFonts w:hint="eastAsia" w:ascii="Times New Roman" w:hAnsi="Times New Roman" w:eastAsia="宋体" w:cs="Times New Roman"/>
          <w:sz w:val="24"/>
          <w:szCs w:val="21"/>
        </w:rPr>
        <w:t>。浆果黑色，直径约</w:t>
      </w:r>
      <w:r>
        <w:rPr>
          <w:rFonts w:ascii="Times New Roman" w:hAnsi="Times New Roman" w:eastAsia="宋体" w:cs="Times New Roman"/>
          <w:sz w:val="24"/>
          <w:szCs w:val="21"/>
        </w:rPr>
        <w:t>1 cm</w:t>
      </w:r>
      <w:r>
        <w:rPr>
          <w:rFonts w:hint="eastAsia" w:ascii="Times New Roman" w:hAnsi="Times New Roman" w:eastAsia="宋体" w:cs="Times New Roman"/>
          <w:sz w:val="24"/>
          <w:szCs w:val="21"/>
        </w:rPr>
        <w:t>，具</w:t>
      </w:r>
      <w:r>
        <w:rPr>
          <w:rFonts w:ascii="Times New Roman" w:hAnsi="Times New Roman" w:eastAsia="宋体" w:cs="Times New Roman"/>
          <w:sz w:val="24"/>
          <w:szCs w:val="21"/>
        </w:rPr>
        <w:t>3-9</w:t>
      </w:r>
      <w:r>
        <w:rPr>
          <w:rFonts w:hint="eastAsia" w:ascii="Times New Roman" w:hAnsi="Times New Roman" w:eastAsia="宋体" w:cs="Times New Roman"/>
          <w:sz w:val="24"/>
          <w:szCs w:val="21"/>
        </w:rPr>
        <w:t>颗种子。花期</w:t>
      </w:r>
      <w:r>
        <w:rPr>
          <w:rFonts w:ascii="Times New Roman" w:hAnsi="Times New Roman" w:eastAsia="宋体" w:cs="Times New Roman"/>
          <w:sz w:val="24"/>
          <w:szCs w:val="21"/>
        </w:rPr>
        <w:t>5-6</w:t>
      </w:r>
      <w:r>
        <w:rPr>
          <w:rFonts w:hint="eastAsia" w:ascii="Times New Roman" w:hAnsi="Times New Roman" w:eastAsia="宋体" w:cs="Times New Roman"/>
          <w:sz w:val="24"/>
          <w:szCs w:val="21"/>
        </w:rPr>
        <w:t>月，果期</w:t>
      </w:r>
      <w:r>
        <w:rPr>
          <w:rFonts w:ascii="Times New Roman" w:hAnsi="Times New Roman" w:eastAsia="宋体" w:cs="Times New Roman"/>
          <w:sz w:val="24"/>
          <w:szCs w:val="21"/>
        </w:rPr>
        <w:t>8-10</w:t>
      </w:r>
      <w:r>
        <w:rPr>
          <w:rFonts w:hint="eastAsia" w:ascii="Times New Roman" w:hAnsi="Times New Roman" w:eastAsia="宋体" w:cs="Times New Roman"/>
          <w:sz w:val="24"/>
          <w:szCs w:val="21"/>
        </w:rPr>
        <w:t>月。</w:t>
      </w:r>
    </w:p>
    <w:p w14:paraId="43D5FBDE">
      <w:pPr>
        <w:spacing w:line="360" w:lineRule="auto"/>
        <w:ind w:firstLine="480"/>
        <w:jc w:val="center"/>
        <w:rPr>
          <w:rFonts w:ascii="Times New Roman" w:hAnsi="Times New Roman" w:eastAsia="宋体" w:cs="Times New Roman"/>
          <w:sz w:val="24"/>
          <w:szCs w:val="21"/>
        </w:rPr>
      </w:pPr>
      <w:r>
        <w:rPr>
          <w:rFonts w:ascii="Times New Roman" w:hAnsi="Times New Roman" w:eastAsia="宋体" w:cs="Times New Roman"/>
          <w:sz w:val="24"/>
          <w:szCs w:val="21"/>
        </w:rPr>
        <w:drawing>
          <wp:inline distT="0" distB="0" distL="0" distR="0">
            <wp:extent cx="3427730" cy="3590290"/>
            <wp:effectExtent l="0" t="0" r="127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noChangeArrowheads="1"/>
                    </pic:cNvPicPr>
                  </pic:nvPicPr>
                  <pic:blipFill>
                    <a:blip r:embed="rId4" cstate="print">
                      <a:extLst>
                        <a:ext uri="{28A0092B-C50C-407E-A947-70E740481C1C}">
                          <a14:useLocalDpi xmlns:a14="http://schemas.microsoft.com/office/drawing/2010/main" val="0"/>
                        </a:ext>
                      </a:extLst>
                    </a:blip>
                    <a:srcRect t="14313" b="12965"/>
                    <a:stretch>
                      <a:fillRect/>
                    </a:stretch>
                  </pic:blipFill>
                  <pic:spPr>
                    <a:xfrm>
                      <a:off x="0" y="0"/>
                      <a:ext cx="3427730" cy="3590290"/>
                    </a:xfrm>
                    <a:prstGeom prst="rect">
                      <a:avLst/>
                    </a:prstGeom>
                    <a:noFill/>
                    <a:ln>
                      <a:noFill/>
                    </a:ln>
                  </pic:spPr>
                </pic:pic>
              </a:graphicData>
            </a:graphic>
          </wp:inline>
        </w:drawing>
      </w:r>
    </w:p>
    <w:p w14:paraId="3817964F">
      <w:pPr>
        <w:spacing w:line="360" w:lineRule="auto"/>
        <w:ind w:firstLine="480"/>
        <w:jc w:val="center"/>
        <w:rPr>
          <w:rFonts w:ascii="Times New Roman" w:hAnsi="Times New Roman" w:eastAsia="宋体" w:cs="Times New Roman"/>
          <w:bCs/>
          <w:sz w:val="24"/>
          <w:szCs w:val="21"/>
        </w:rPr>
      </w:pPr>
      <w:r>
        <w:rPr>
          <w:rFonts w:hint="eastAsia" w:ascii="Times New Roman" w:hAnsi="Times New Roman" w:eastAsia="宋体" w:cs="Times New Roman"/>
          <w:bCs/>
          <w:sz w:val="24"/>
          <w:szCs w:val="21"/>
        </w:rPr>
        <w:t>图</w:t>
      </w:r>
      <w:r>
        <w:rPr>
          <w:rFonts w:ascii="Times New Roman" w:hAnsi="Times New Roman" w:eastAsia="宋体" w:cs="Times New Roman"/>
          <w:bCs/>
          <w:sz w:val="24"/>
          <w:szCs w:val="21"/>
        </w:rPr>
        <w:t xml:space="preserve">5.4 </w:t>
      </w:r>
      <w:r>
        <w:rPr>
          <w:rFonts w:hint="eastAsia" w:ascii="Times New Roman" w:hAnsi="Times New Roman" w:eastAsia="宋体" w:cs="Times New Roman"/>
          <w:bCs/>
          <w:sz w:val="24"/>
          <w:szCs w:val="21"/>
        </w:rPr>
        <w:t>多花黄精（《中国植物志》）</w:t>
      </w:r>
    </w:p>
    <w:p w14:paraId="61CF8DEB">
      <w:p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产浙江、福建、江西、安徽、湖南、重庆、贵州、湖北、四川、河南（南部和西部）、江苏（南部）、广东（中部和北部）、广西（北部）。生林下、灌丛或山坡阴处，海拔</w:t>
      </w:r>
      <w:r>
        <w:rPr>
          <w:rFonts w:ascii="Times New Roman" w:hAnsi="Times New Roman" w:eastAsia="宋体" w:cs="Times New Roman"/>
          <w:sz w:val="24"/>
          <w:szCs w:val="21"/>
        </w:rPr>
        <w:t>200-2 100 m</w:t>
      </w:r>
      <w:r>
        <w:rPr>
          <w:rFonts w:hint="eastAsia" w:ascii="Times New Roman" w:hAnsi="Times New Roman" w:eastAsia="宋体" w:cs="Times New Roman"/>
          <w:sz w:val="24"/>
          <w:szCs w:val="21"/>
        </w:rPr>
        <w:t>。</w:t>
      </w:r>
    </w:p>
    <w:p w14:paraId="1254C27D">
      <w:p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本种根状茎通常在分布的北缘节间长、东南节间短；形态上变异很大（图</w:t>
      </w:r>
      <w:r>
        <w:rPr>
          <w:rFonts w:ascii="Times New Roman" w:hAnsi="Times New Roman" w:eastAsia="宋体" w:cs="Times New Roman"/>
          <w:sz w:val="24"/>
          <w:szCs w:val="21"/>
        </w:rPr>
        <w:t>2-3</w:t>
      </w:r>
      <w:r>
        <w:rPr>
          <w:rFonts w:hint="eastAsia" w:ascii="Times New Roman" w:hAnsi="Times New Roman" w:eastAsia="宋体" w:cs="Times New Roman"/>
          <w:sz w:val="24"/>
          <w:szCs w:val="21"/>
        </w:rPr>
        <w:t>）。在江西修水、安徽金寨、湖南新化一些植株特别高大、花序可成总状花序（图</w:t>
      </w:r>
      <w:r>
        <w:rPr>
          <w:rFonts w:ascii="Times New Roman" w:hAnsi="Times New Roman" w:eastAsia="宋体" w:cs="Times New Roman"/>
          <w:sz w:val="24"/>
          <w:szCs w:val="21"/>
        </w:rPr>
        <w:t>2-3b</w:t>
      </w:r>
      <w:r>
        <w:rPr>
          <w:rFonts w:hint="eastAsia" w:ascii="Times New Roman" w:hAnsi="Times New Roman" w:eastAsia="宋体" w:cs="Times New Roman"/>
          <w:sz w:val="24"/>
          <w:szCs w:val="21"/>
        </w:rPr>
        <w:t>），根茎也大的变异类型，它们是否是同一个分类群，还需要深入研究而确定。</w:t>
      </w:r>
    </w:p>
    <w:p w14:paraId="717E2E3C">
      <w:pPr>
        <w:spacing w:line="360" w:lineRule="auto"/>
        <w:ind w:firstLine="480" w:firstLineChars="200"/>
        <w:rPr>
          <w:rFonts w:ascii="Times New Roman" w:hAnsi="Times New Roman" w:eastAsia="宋体" w:cs="Times New Roman"/>
          <w:sz w:val="24"/>
          <w:szCs w:val="21"/>
        </w:rPr>
      </w:pPr>
      <w:bookmarkStart w:id="3" w:name="_Hlk165638730"/>
      <w:r>
        <w:rPr>
          <w:rFonts w:hint="eastAsia" w:ascii="Times New Roman" w:hAnsi="Times New Roman" w:eastAsia="宋体" w:cs="Times New Roman"/>
          <w:sz w:val="24"/>
          <w:szCs w:val="21"/>
        </w:rPr>
        <w:t>（二）鸡头黄精</w:t>
      </w:r>
      <w:bookmarkEnd w:id="3"/>
      <w:r>
        <w:rPr>
          <w:rFonts w:hint="eastAsia" w:ascii="Times New Roman" w:hAnsi="Times New Roman" w:eastAsia="宋体" w:cs="Times New Roman"/>
          <w:sz w:val="24"/>
          <w:szCs w:val="21"/>
        </w:rPr>
        <w:t>（图</w:t>
      </w:r>
      <w:r>
        <w:rPr>
          <w:rFonts w:ascii="Times New Roman" w:hAnsi="Times New Roman" w:eastAsia="宋体" w:cs="Times New Roman"/>
          <w:sz w:val="24"/>
          <w:szCs w:val="21"/>
        </w:rPr>
        <w:t>5.5</w:t>
      </w:r>
      <w:r>
        <w:rPr>
          <w:rFonts w:hint="eastAsia" w:ascii="Times New Roman" w:hAnsi="Times New Roman" w:eastAsia="宋体" w:cs="Times New Roman"/>
          <w:sz w:val="24"/>
          <w:szCs w:val="21"/>
        </w:rPr>
        <w:t>）</w:t>
      </w:r>
    </w:p>
    <w:p w14:paraId="3E979DDE">
      <w:pPr>
        <w:spacing w:line="360" w:lineRule="auto"/>
        <w:ind w:firstLine="480" w:firstLineChars="200"/>
        <w:rPr>
          <w:rFonts w:ascii="Times New Roman" w:hAnsi="Times New Roman" w:eastAsia="宋体" w:cs="Times New Roman"/>
          <w:sz w:val="24"/>
          <w:szCs w:val="21"/>
        </w:rPr>
      </w:pPr>
      <w:r>
        <w:rPr>
          <w:rFonts w:ascii="Times New Roman" w:hAnsi="Times New Roman" w:eastAsia="宋体" w:cs="Times New Roman"/>
          <w:i/>
          <w:iCs/>
          <w:sz w:val="24"/>
          <w:szCs w:val="21"/>
        </w:rPr>
        <w:t>Polygonatum sibiricum</w:t>
      </w:r>
      <w:r>
        <w:rPr>
          <w:rFonts w:ascii="Times New Roman" w:hAnsi="Times New Roman" w:eastAsia="宋体" w:cs="Times New Roman"/>
          <w:sz w:val="24"/>
          <w:szCs w:val="21"/>
        </w:rPr>
        <w:t xml:space="preserve"> Delar. ex Redouté, Lil. 6: t. 315. 1812</w:t>
      </w:r>
      <w:r>
        <w:rPr>
          <w:rFonts w:hint="eastAsia" w:ascii="Times New Roman" w:hAnsi="Times New Roman" w:eastAsia="宋体" w:cs="Times New Roman"/>
          <w:sz w:val="24"/>
          <w:szCs w:val="21"/>
        </w:rPr>
        <w:t>；中药志</w:t>
      </w:r>
      <w:r>
        <w:rPr>
          <w:rFonts w:ascii="Times New Roman" w:hAnsi="Times New Roman" w:eastAsia="宋体" w:cs="Times New Roman"/>
          <w:sz w:val="24"/>
          <w:szCs w:val="21"/>
        </w:rPr>
        <w:t xml:space="preserve">1: 465, </w:t>
      </w:r>
      <w:r>
        <w:rPr>
          <w:rFonts w:hint="eastAsia" w:ascii="Times New Roman" w:hAnsi="Times New Roman" w:eastAsia="宋体" w:cs="Times New Roman"/>
          <w:sz w:val="24"/>
          <w:szCs w:val="21"/>
        </w:rPr>
        <w:t>图</w:t>
      </w:r>
      <w:r>
        <w:rPr>
          <w:rFonts w:ascii="Times New Roman" w:hAnsi="Times New Roman" w:eastAsia="宋体" w:cs="Times New Roman"/>
          <w:sz w:val="24"/>
          <w:szCs w:val="21"/>
        </w:rPr>
        <w:t>308. 1959. ——</w:t>
      </w:r>
      <w:r>
        <w:rPr>
          <w:rFonts w:ascii="Times New Roman" w:hAnsi="Times New Roman" w:eastAsia="宋体" w:cs="Times New Roman"/>
          <w:i/>
          <w:iCs/>
          <w:sz w:val="24"/>
          <w:szCs w:val="21"/>
        </w:rPr>
        <w:t>P. chinense</w:t>
      </w:r>
      <w:r>
        <w:rPr>
          <w:rFonts w:ascii="Times New Roman" w:hAnsi="Times New Roman" w:eastAsia="宋体" w:cs="Times New Roman"/>
          <w:sz w:val="24"/>
          <w:szCs w:val="21"/>
        </w:rPr>
        <w:t xml:space="preserve"> Kunth, Enum. Pl. 5: 146. 1850.</w:t>
      </w:r>
    </w:p>
    <w:p w14:paraId="06CF259F">
      <w:p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根状茎圆柱状，由于结节膨大，因此</w:t>
      </w:r>
      <w:r>
        <w:rPr>
          <w:rFonts w:ascii="Times New Roman" w:hAnsi="Times New Roman" w:eastAsia="宋体" w:cs="Times New Roman"/>
          <w:sz w:val="24"/>
          <w:szCs w:val="21"/>
        </w:rPr>
        <w:t>“</w:t>
      </w:r>
      <w:r>
        <w:rPr>
          <w:rFonts w:hint="eastAsia" w:ascii="Times New Roman" w:hAnsi="Times New Roman" w:eastAsia="宋体" w:cs="Times New Roman"/>
          <w:sz w:val="24"/>
          <w:szCs w:val="21"/>
        </w:rPr>
        <w:t>节间</w:t>
      </w:r>
      <w:r>
        <w:rPr>
          <w:rFonts w:ascii="Times New Roman" w:hAnsi="Times New Roman" w:eastAsia="宋体" w:cs="Times New Roman"/>
          <w:sz w:val="24"/>
          <w:szCs w:val="21"/>
        </w:rPr>
        <w:t>”</w:t>
      </w:r>
      <w:r>
        <w:rPr>
          <w:rFonts w:hint="eastAsia" w:ascii="Times New Roman" w:hAnsi="Times New Roman" w:eastAsia="宋体" w:cs="Times New Roman"/>
          <w:sz w:val="24"/>
          <w:szCs w:val="21"/>
        </w:rPr>
        <w:t>一头粗、一头细，在粗的一头有短分枝（中药志称这种根状茎类型所制成的药材为鸡头黄精），直径</w:t>
      </w:r>
      <w:r>
        <w:rPr>
          <w:rFonts w:ascii="Times New Roman" w:hAnsi="Times New Roman" w:eastAsia="宋体" w:cs="Times New Roman"/>
          <w:sz w:val="24"/>
          <w:szCs w:val="21"/>
        </w:rPr>
        <w:t>1-2 cm</w:t>
      </w:r>
      <w:r>
        <w:rPr>
          <w:rFonts w:hint="eastAsia" w:ascii="Times New Roman" w:hAnsi="Times New Roman" w:eastAsia="宋体" w:cs="Times New Roman"/>
          <w:sz w:val="24"/>
          <w:szCs w:val="21"/>
        </w:rPr>
        <w:t>。茎高</w:t>
      </w:r>
      <w:r>
        <w:rPr>
          <w:rFonts w:ascii="Times New Roman" w:hAnsi="Times New Roman" w:eastAsia="宋体" w:cs="Times New Roman"/>
          <w:sz w:val="24"/>
          <w:szCs w:val="21"/>
        </w:rPr>
        <w:t>50-90 cm</w:t>
      </w:r>
      <w:r>
        <w:rPr>
          <w:rFonts w:hint="eastAsia" w:ascii="Times New Roman" w:hAnsi="Times New Roman" w:eastAsia="宋体" w:cs="Times New Roman"/>
          <w:sz w:val="24"/>
          <w:szCs w:val="21"/>
        </w:rPr>
        <w:t>，或可达</w:t>
      </w:r>
      <w:r>
        <w:rPr>
          <w:rFonts w:ascii="Times New Roman" w:hAnsi="Times New Roman" w:eastAsia="宋体" w:cs="Times New Roman"/>
          <w:sz w:val="24"/>
          <w:szCs w:val="21"/>
        </w:rPr>
        <w:t>1 m</w:t>
      </w:r>
      <w:r>
        <w:rPr>
          <w:rFonts w:hint="eastAsia" w:ascii="Times New Roman" w:hAnsi="Times New Roman" w:eastAsia="宋体" w:cs="Times New Roman"/>
          <w:sz w:val="24"/>
          <w:szCs w:val="21"/>
        </w:rPr>
        <w:t>以上，有时呈攀援状。叶轮生，每轮</w:t>
      </w:r>
      <w:r>
        <w:rPr>
          <w:rFonts w:ascii="Times New Roman" w:hAnsi="Times New Roman" w:eastAsia="宋体" w:cs="Times New Roman"/>
          <w:sz w:val="24"/>
          <w:szCs w:val="21"/>
        </w:rPr>
        <w:t>4-6</w:t>
      </w:r>
      <w:r>
        <w:rPr>
          <w:rFonts w:hint="eastAsia" w:ascii="Times New Roman" w:hAnsi="Times New Roman" w:eastAsia="宋体" w:cs="Times New Roman"/>
          <w:sz w:val="24"/>
          <w:szCs w:val="21"/>
        </w:rPr>
        <w:t>枚，条状披针形，长</w:t>
      </w:r>
      <w:r>
        <w:rPr>
          <w:rFonts w:ascii="Times New Roman" w:hAnsi="Times New Roman" w:eastAsia="宋体" w:cs="Times New Roman"/>
          <w:sz w:val="24"/>
          <w:szCs w:val="21"/>
        </w:rPr>
        <w:t>8-15 cm</w:t>
      </w:r>
      <w:r>
        <w:rPr>
          <w:rFonts w:hint="eastAsia" w:ascii="Times New Roman" w:hAnsi="Times New Roman" w:eastAsia="宋体" w:cs="Times New Roman"/>
          <w:sz w:val="24"/>
          <w:szCs w:val="21"/>
        </w:rPr>
        <w:t>，宽（</w:t>
      </w:r>
      <w:r>
        <w:rPr>
          <w:rFonts w:ascii="Times New Roman" w:hAnsi="Times New Roman" w:eastAsia="宋体" w:cs="Times New Roman"/>
          <w:sz w:val="24"/>
          <w:szCs w:val="21"/>
        </w:rPr>
        <w:t>4-</w:t>
      </w:r>
      <w:r>
        <w:rPr>
          <w:rFonts w:hint="eastAsia" w:ascii="Times New Roman" w:hAnsi="Times New Roman" w:eastAsia="宋体" w:cs="Times New Roman"/>
          <w:sz w:val="24"/>
          <w:szCs w:val="21"/>
        </w:rPr>
        <w:t>）</w:t>
      </w:r>
      <w:r>
        <w:rPr>
          <w:rFonts w:ascii="Times New Roman" w:hAnsi="Times New Roman" w:eastAsia="宋体" w:cs="Times New Roman"/>
          <w:sz w:val="24"/>
          <w:szCs w:val="21"/>
        </w:rPr>
        <w:t>6-16 mm</w:t>
      </w:r>
      <w:r>
        <w:rPr>
          <w:rFonts w:hint="eastAsia" w:ascii="Times New Roman" w:hAnsi="Times New Roman" w:eastAsia="宋体" w:cs="Times New Roman"/>
          <w:sz w:val="24"/>
          <w:szCs w:val="21"/>
        </w:rPr>
        <w:t>，先端拳卷或弯曲成钩。花序通常具</w:t>
      </w:r>
      <w:r>
        <w:rPr>
          <w:rFonts w:ascii="Times New Roman" w:hAnsi="Times New Roman" w:eastAsia="宋体" w:cs="Times New Roman"/>
          <w:sz w:val="24"/>
          <w:szCs w:val="21"/>
        </w:rPr>
        <w:t>2-4</w:t>
      </w:r>
      <w:r>
        <w:rPr>
          <w:rFonts w:hint="eastAsia" w:ascii="Times New Roman" w:hAnsi="Times New Roman" w:eastAsia="宋体" w:cs="Times New Roman"/>
          <w:sz w:val="24"/>
          <w:szCs w:val="21"/>
        </w:rPr>
        <w:t>朵花，似成伞形状，总花梗长</w:t>
      </w:r>
      <w:r>
        <w:rPr>
          <w:rFonts w:ascii="Times New Roman" w:hAnsi="Times New Roman" w:eastAsia="宋体" w:cs="Times New Roman"/>
          <w:sz w:val="24"/>
          <w:szCs w:val="21"/>
        </w:rPr>
        <w:t>1-2 cm</w:t>
      </w:r>
      <w:r>
        <w:rPr>
          <w:rFonts w:hint="eastAsia" w:ascii="Times New Roman" w:hAnsi="Times New Roman" w:eastAsia="宋体" w:cs="Times New Roman"/>
          <w:sz w:val="24"/>
          <w:szCs w:val="21"/>
        </w:rPr>
        <w:t>，花梗长（</w:t>
      </w:r>
      <w:r>
        <w:rPr>
          <w:rFonts w:ascii="Times New Roman" w:hAnsi="Times New Roman" w:eastAsia="宋体" w:cs="Times New Roman"/>
          <w:sz w:val="24"/>
          <w:szCs w:val="21"/>
        </w:rPr>
        <w:t>2.5-</w:t>
      </w:r>
      <w:r>
        <w:rPr>
          <w:rFonts w:hint="eastAsia" w:ascii="Times New Roman" w:hAnsi="Times New Roman" w:eastAsia="宋体" w:cs="Times New Roman"/>
          <w:sz w:val="24"/>
          <w:szCs w:val="21"/>
        </w:rPr>
        <w:t>）</w:t>
      </w:r>
      <w:r>
        <w:rPr>
          <w:rFonts w:ascii="Times New Roman" w:hAnsi="Times New Roman" w:eastAsia="宋体" w:cs="Times New Roman"/>
          <w:sz w:val="24"/>
          <w:szCs w:val="21"/>
        </w:rPr>
        <w:t>4-10 mm</w:t>
      </w:r>
      <w:r>
        <w:rPr>
          <w:rFonts w:hint="eastAsia" w:ascii="Times New Roman" w:hAnsi="Times New Roman" w:eastAsia="宋体" w:cs="Times New Roman"/>
          <w:sz w:val="24"/>
          <w:szCs w:val="21"/>
        </w:rPr>
        <w:t>，俯垂；苞片位于花梗基部，膜质，钻形或条状披针形，长</w:t>
      </w:r>
      <w:r>
        <w:rPr>
          <w:rFonts w:ascii="Times New Roman" w:hAnsi="Times New Roman" w:eastAsia="宋体" w:cs="Times New Roman"/>
          <w:sz w:val="24"/>
          <w:szCs w:val="21"/>
        </w:rPr>
        <w:t>3-5 mm</w:t>
      </w:r>
      <w:r>
        <w:rPr>
          <w:rFonts w:hint="eastAsia" w:ascii="Times New Roman" w:hAnsi="Times New Roman" w:eastAsia="宋体" w:cs="Times New Roman"/>
          <w:sz w:val="24"/>
          <w:szCs w:val="21"/>
        </w:rPr>
        <w:t>，具</w:t>
      </w:r>
      <w:r>
        <w:rPr>
          <w:rFonts w:ascii="Times New Roman" w:hAnsi="Times New Roman" w:eastAsia="宋体" w:cs="Times New Roman"/>
          <w:sz w:val="24"/>
          <w:szCs w:val="21"/>
        </w:rPr>
        <w:t>1</w:t>
      </w:r>
      <w:r>
        <w:rPr>
          <w:rFonts w:hint="eastAsia" w:ascii="Times New Roman" w:hAnsi="Times New Roman" w:eastAsia="宋体" w:cs="Times New Roman"/>
          <w:sz w:val="24"/>
          <w:szCs w:val="21"/>
        </w:rPr>
        <w:t>脉；花被乳白色至淡黄色，全长</w:t>
      </w:r>
      <w:r>
        <w:rPr>
          <w:rFonts w:ascii="Times New Roman" w:hAnsi="Times New Roman" w:eastAsia="宋体" w:cs="Times New Roman"/>
          <w:sz w:val="24"/>
          <w:szCs w:val="21"/>
        </w:rPr>
        <w:t>9-12 mm</w:t>
      </w:r>
      <w:r>
        <w:rPr>
          <w:rFonts w:hint="eastAsia" w:ascii="Times New Roman" w:hAnsi="Times New Roman" w:eastAsia="宋体" w:cs="Times New Roman"/>
          <w:sz w:val="24"/>
          <w:szCs w:val="21"/>
        </w:rPr>
        <w:t>，花被筒中部稍缢缩，裂片长约</w:t>
      </w:r>
      <w:r>
        <w:rPr>
          <w:rFonts w:ascii="Times New Roman" w:hAnsi="Times New Roman" w:eastAsia="宋体" w:cs="Times New Roman"/>
          <w:sz w:val="24"/>
          <w:szCs w:val="21"/>
        </w:rPr>
        <w:t>4 mm</w:t>
      </w:r>
      <w:r>
        <w:rPr>
          <w:rFonts w:hint="eastAsia" w:ascii="Times New Roman" w:hAnsi="Times New Roman" w:eastAsia="宋体" w:cs="Times New Roman"/>
          <w:sz w:val="24"/>
          <w:szCs w:val="21"/>
        </w:rPr>
        <w:t>；花丝长</w:t>
      </w:r>
      <w:r>
        <w:rPr>
          <w:rFonts w:ascii="Times New Roman" w:hAnsi="Times New Roman" w:eastAsia="宋体" w:cs="Times New Roman"/>
          <w:sz w:val="24"/>
          <w:szCs w:val="21"/>
        </w:rPr>
        <w:t>0.5-1 mm</w:t>
      </w:r>
      <w:r>
        <w:rPr>
          <w:rFonts w:hint="eastAsia" w:ascii="Times New Roman" w:hAnsi="Times New Roman" w:eastAsia="宋体" w:cs="Times New Roman"/>
          <w:sz w:val="24"/>
          <w:szCs w:val="21"/>
        </w:rPr>
        <w:t>，花药长</w:t>
      </w:r>
      <w:r>
        <w:rPr>
          <w:rFonts w:ascii="Times New Roman" w:hAnsi="Times New Roman" w:eastAsia="宋体" w:cs="Times New Roman"/>
          <w:sz w:val="24"/>
          <w:szCs w:val="21"/>
        </w:rPr>
        <w:t>2-3 mm</w:t>
      </w:r>
      <w:r>
        <w:rPr>
          <w:rFonts w:hint="eastAsia" w:ascii="Times New Roman" w:hAnsi="Times New Roman" w:eastAsia="宋体" w:cs="Times New Roman"/>
          <w:sz w:val="24"/>
          <w:szCs w:val="21"/>
        </w:rPr>
        <w:t>；子房长约</w:t>
      </w:r>
      <w:r>
        <w:rPr>
          <w:rFonts w:ascii="Times New Roman" w:hAnsi="Times New Roman" w:eastAsia="宋体" w:cs="Times New Roman"/>
          <w:sz w:val="24"/>
          <w:szCs w:val="21"/>
        </w:rPr>
        <w:t>3 mm</w:t>
      </w:r>
      <w:r>
        <w:rPr>
          <w:rFonts w:hint="eastAsia" w:ascii="Times New Roman" w:hAnsi="Times New Roman" w:eastAsia="宋体" w:cs="Times New Roman"/>
          <w:sz w:val="24"/>
          <w:szCs w:val="21"/>
        </w:rPr>
        <w:t>，花柱长</w:t>
      </w:r>
      <w:r>
        <w:rPr>
          <w:rFonts w:ascii="Times New Roman" w:hAnsi="Times New Roman" w:eastAsia="宋体" w:cs="Times New Roman"/>
          <w:sz w:val="24"/>
          <w:szCs w:val="21"/>
        </w:rPr>
        <w:t>5-7 mm</w:t>
      </w:r>
      <w:r>
        <w:rPr>
          <w:rFonts w:hint="eastAsia" w:ascii="Times New Roman" w:hAnsi="Times New Roman" w:eastAsia="宋体" w:cs="Times New Roman"/>
          <w:sz w:val="24"/>
          <w:szCs w:val="21"/>
        </w:rPr>
        <w:t>。浆果直径</w:t>
      </w:r>
      <w:r>
        <w:rPr>
          <w:rFonts w:ascii="Times New Roman" w:hAnsi="Times New Roman" w:eastAsia="宋体" w:cs="Times New Roman"/>
          <w:sz w:val="24"/>
          <w:szCs w:val="21"/>
        </w:rPr>
        <w:t>7-10 mm</w:t>
      </w:r>
      <w:r>
        <w:rPr>
          <w:rFonts w:hint="eastAsia" w:ascii="Times New Roman" w:hAnsi="Times New Roman" w:eastAsia="宋体" w:cs="Times New Roman"/>
          <w:sz w:val="24"/>
          <w:szCs w:val="21"/>
        </w:rPr>
        <w:t>，黑色，具</w:t>
      </w:r>
      <w:r>
        <w:rPr>
          <w:rFonts w:ascii="Times New Roman" w:hAnsi="Times New Roman" w:eastAsia="宋体" w:cs="Times New Roman"/>
          <w:sz w:val="24"/>
          <w:szCs w:val="21"/>
        </w:rPr>
        <w:t>4-7</w:t>
      </w:r>
      <w:r>
        <w:rPr>
          <w:rFonts w:hint="eastAsia" w:ascii="Times New Roman" w:hAnsi="Times New Roman" w:eastAsia="宋体" w:cs="Times New Roman"/>
          <w:sz w:val="24"/>
          <w:szCs w:val="21"/>
        </w:rPr>
        <w:t>颗种子。花期</w:t>
      </w:r>
      <w:r>
        <w:rPr>
          <w:rFonts w:ascii="Times New Roman" w:hAnsi="Times New Roman" w:eastAsia="宋体" w:cs="Times New Roman"/>
          <w:sz w:val="24"/>
          <w:szCs w:val="21"/>
        </w:rPr>
        <w:t>5-6</w:t>
      </w:r>
      <w:r>
        <w:rPr>
          <w:rFonts w:hint="eastAsia" w:ascii="Times New Roman" w:hAnsi="Times New Roman" w:eastAsia="宋体" w:cs="Times New Roman"/>
          <w:sz w:val="24"/>
          <w:szCs w:val="21"/>
        </w:rPr>
        <w:t>月，果期</w:t>
      </w:r>
      <w:r>
        <w:rPr>
          <w:rFonts w:ascii="Times New Roman" w:hAnsi="Times New Roman" w:eastAsia="宋体" w:cs="Times New Roman"/>
          <w:sz w:val="24"/>
          <w:szCs w:val="21"/>
        </w:rPr>
        <w:t>8-9</w:t>
      </w:r>
      <w:r>
        <w:rPr>
          <w:rFonts w:hint="eastAsia" w:ascii="Times New Roman" w:hAnsi="Times New Roman" w:eastAsia="宋体" w:cs="Times New Roman"/>
          <w:sz w:val="24"/>
          <w:szCs w:val="21"/>
        </w:rPr>
        <w:t>月。</w:t>
      </w:r>
    </w:p>
    <w:p w14:paraId="1EF1228F">
      <w:pPr>
        <w:spacing w:line="360" w:lineRule="auto"/>
        <w:ind w:firstLine="480"/>
        <w:jc w:val="center"/>
        <w:rPr>
          <w:rFonts w:ascii="Times New Roman" w:hAnsi="Times New Roman" w:eastAsia="宋体" w:cs="Times New Roman"/>
          <w:sz w:val="24"/>
          <w:szCs w:val="21"/>
        </w:rPr>
      </w:pPr>
      <w:r>
        <w:rPr>
          <w:rFonts w:ascii="Times New Roman" w:hAnsi="Times New Roman" w:eastAsia="宋体" w:cs="Times New Roman"/>
          <w:sz w:val="24"/>
          <w:szCs w:val="21"/>
        </w:rPr>
        <w:drawing>
          <wp:inline distT="0" distB="0" distL="0" distR="0">
            <wp:extent cx="2204720" cy="2754630"/>
            <wp:effectExtent l="0" t="0" r="8255" b="8890"/>
            <wp:docPr id="9" name="图片 4" descr="20171225025009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descr="20171225025009322"/>
                    <pic:cNvPicPr>
                      <a:picLocks noChangeAspect="1" noChangeArrowheads="1"/>
                    </pic:cNvPicPr>
                  </pic:nvPicPr>
                  <pic:blipFill>
                    <a:blip r:embed="rId5" cstate="print">
                      <a:extLst>
                        <a:ext uri="{28A0092B-C50C-407E-A947-70E740481C1C}">
                          <a14:useLocalDpi xmlns:a14="http://schemas.microsoft.com/office/drawing/2010/main" val="0"/>
                        </a:ext>
                      </a:extLst>
                    </a:blip>
                    <a:srcRect l="25832" r="23965"/>
                    <a:stretch>
                      <a:fillRect/>
                    </a:stretch>
                  </pic:blipFill>
                  <pic:spPr>
                    <a:xfrm>
                      <a:off x="0" y="0"/>
                      <a:ext cx="2204720" cy="2754630"/>
                    </a:xfrm>
                    <a:prstGeom prst="rect">
                      <a:avLst/>
                    </a:prstGeom>
                    <a:noFill/>
                    <a:ln>
                      <a:noFill/>
                    </a:ln>
                  </pic:spPr>
                </pic:pic>
              </a:graphicData>
            </a:graphic>
          </wp:inline>
        </w:drawing>
      </w:r>
    </w:p>
    <w:p w14:paraId="6BF35EE7">
      <w:pPr>
        <w:spacing w:line="360" w:lineRule="auto"/>
        <w:ind w:firstLine="480"/>
        <w:jc w:val="center"/>
        <w:rPr>
          <w:rFonts w:ascii="Times New Roman" w:hAnsi="Times New Roman" w:eastAsia="宋体" w:cs="Times New Roman"/>
          <w:bCs/>
          <w:sz w:val="24"/>
          <w:szCs w:val="21"/>
        </w:rPr>
      </w:pPr>
      <w:r>
        <w:rPr>
          <w:rFonts w:hint="eastAsia" w:ascii="Times New Roman" w:hAnsi="Times New Roman" w:eastAsia="宋体" w:cs="Times New Roman"/>
          <w:bCs/>
          <w:sz w:val="24"/>
          <w:szCs w:val="21"/>
        </w:rPr>
        <w:t>图</w:t>
      </w:r>
      <w:r>
        <w:rPr>
          <w:rFonts w:ascii="Times New Roman" w:hAnsi="Times New Roman" w:eastAsia="宋体" w:cs="Times New Roman"/>
          <w:bCs/>
          <w:sz w:val="24"/>
          <w:szCs w:val="21"/>
        </w:rPr>
        <w:t>5.5</w:t>
      </w:r>
      <w:r>
        <w:rPr>
          <w:rFonts w:hint="eastAsia" w:ascii="Times New Roman" w:hAnsi="Times New Roman" w:eastAsia="宋体" w:cs="Times New Roman"/>
          <w:bCs/>
          <w:sz w:val="24"/>
          <w:szCs w:val="21"/>
        </w:rPr>
        <w:t>　鸡头黄精（《中国植物志》）</w:t>
      </w:r>
    </w:p>
    <w:p w14:paraId="64AA4E86">
      <w:p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产黑龙江、吉林、辽宁、河北、山西、陕西、内蒙古、宁夏、甘肃（东部）、河南、山东、安徽（东部）、浙江（西北部）。生林下、灌丛或山坡阴处，海拔</w:t>
      </w:r>
      <w:r>
        <w:rPr>
          <w:rFonts w:ascii="Times New Roman" w:hAnsi="Times New Roman" w:eastAsia="宋体" w:cs="Times New Roman"/>
          <w:sz w:val="24"/>
          <w:szCs w:val="21"/>
        </w:rPr>
        <w:t>800-2800 m</w:t>
      </w:r>
      <w:r>
        <w:rPr>
          <w:rFonts w:hint="eastAsia" w:ascii="Times New Roman" w:hAnsi="Times New Roman" w:eastAsia="宋体" w:cs="Times New Roman"/>
          <w:sz w:val="24"/>
          <w:szCs w:val="21"/>
        </w:rPr>
        <w:t>。朝鲜、蒙古和苏联西伯利亚东部地区也有。</w:t>
      </w:r>
    </w:p>
    <w:p w14:paraId="687D4307">
      <w:p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（三）滇黄精（图</w:t>
      </w:r>
      <w:r>
        <w:rPr>
          <w:rFonts w:ascii="Times New Roman" w:hAnsi="Times New Roman" w:eastAsia="宋体" w:cs="Times New Roman"/>
          <w:sz w:val="24"/>
          <w:szCs w:val="21"/>
        </w:rPr>
        <w:t>5.6</w:t>
      </w:r>
      <w:r>
        <w:rPr>
          <w:rFonts w:hint="eastAsia" w:ascii="Times New Roman" w:hAnsi="Times New Roman" w:eastAsia="宋体" w:cs="Times New Roman"/>
          <w:sz w:val="24"/>
          <w:szCs w:val="21"/>
        </w:rPr>
        <w:t>）</w:t>
      </w:r>
    </w:p>
    <w:p w14:paraId="3F47A019">
      <w:pPr>
        <w:spacing w:line="360" w:lineRule="auto"/>
        <w:ind w:firstLine="480" w:firstLineChars="200"/>
        <w:rPr>
          <w:rFonts w:ascii="Times New Roman" w:hAnsi="Times New Roman" w:eastAsia="宋体" w:cs="Times New Roman"/>
          <w:sz w:val="24"/>
          <w:szCs w:val="21"/>
        </w:rPr>
      </w:pPr>
      <w:r>
        <w:rPr>
          <w:rFonts w:ascii="Times New Roman" w:hAnsi="Times New Roman" w:eastAsia="宋体" w:cs="Times New Roman"/>
          <w:i/>
          <w:iCs/>
          <w:sz w:val="24"/>
          <w:szCs w:val="21"/>
        </w:rPr>
        <w:t>Polygonatum kingianum</w:t>
      </w:r>
      <w:r>
        <w:rPr>
          <w:rFonts w:ascii="Times New Roman" w:hAnsi="Times New Roman" w:eastAsia="宋体" w:cs="Times New Roman"/>
          <w:sz w:val="24"/>
          <w:szCs w:val="21"/>
        </w:rPr>
        <w:t xml:space="preserve"> Coll. et Hemsl. in Journ, Linn. Soc. Bot. 28: 138,Pl. 21. 1890;</w:t>
      </w:r>
      <w:r>
        <w:rPr>
          <w:rFonts w:hint="eastAsia" w:ascii="Times New Roman" w:hAnsi="Times New Roman" w:eastAsia="宋体" w:cs="Times New Roman"/>
          <w:sz w:val="24"/>
          <w:szCs w:val="21"/>
        </w:rPr>
        <w:t>中药志</w:t>
      </w:r>
      <w:r>
        <w:rPr>
          <w:rFonts w:ascii="Times New Roman" w:hAnsi="Times New Roman" w:eastAsia="宋体" w:cs="Times New Roman"/>
          <w:sz w:val="24"/>
          <w:szCs w:val="21"/>
        </w:rPr>
        <w:t>1: 471. 1959.——</w:t>
      </w:r>
      <w:r>
        <w:rPr>
          <w:rFonts w:ascii="Times New Roman" w:hAnsi="Times New Roman" w:eastAsia="宋体" w:cs="Times New Roman"/>
          <w:i/>
          <w:iCs/>
          <w:sz w:val="24"/>
          <w:szCs w:val="21"/>
        </w:rPr>
        <w:t>P. agglutinatum</w:t>
      </w:r>
      <w:r>
        <w:rPr>
          <w:rFonts w:ascii="Times New Roman" w:hAnsi="Times New Roman" w:eastAsia="宋体" w:cs="Times New Roman"/>
          <w:sz w:val="24"/>
          <w:szCs w:val="21"/>
        </w:rPr>
        <w:t xml:space="preserve"> Hua in Journ. de Bot: 6,:448. 1892. ——</w:t>
      </w:r>
      <w:r>
        <w:rPr>
          <w:rFonts w:ascii="Times New Roman" w:hAnsi="Times New Roman" w:eastAsia="宋体" w:cs="Times New Roman"/>
          <w:i/>
          <w:iCs/>
          <w:sz w:val="24"/>
          <w:szCs w:val="21"/>
        </w:rPr>
        <w:t>P. huanum</w:t>
      </w:r>
      <w:r>
        <w:rPr>
          <w:rFonts w:ascii="Times New Roman" w:hAnsi="Times New Roman" w:eastAsia="宋体" w:cs="Times New Roman"/>
          <w:sz w:val="24"/>
          <w:szCs w:val="21"/>
        </w:rPr>
        <w:t>: Levl., Nouv. Contrib. Liliac. etc</w:t>
      </w:r>
      <w:r>
        <w:rPr>
          <w:rFonts w:hint="eastAsia" w:ascii="Times New Roman" w:hAnsi="Times New Roman" w:eastAsia="宋体" w:cs="Times New Roman"/>
          <w:sz w:val="24"/>
          <w:szCs w:val="21"/>
        </w:rPr>
        <w:t>、</w:t>
      </w:r>
      <w:r>
        <w:rPr>
          <w:rFonts w:ascii="Times New Roman" w:hAnsi="Times New Roman" w:eastAsia="宋体" w:cs="Times New Roman"/>
          <w:sz w:val="24"/>
          <w:szCs w:val="21"/>
        </w:rPr>
        <w:t>Chine 11. 1906, et Rep. Sp. Nov. Fedde 3: 369. 1907. ——</w:t>
      </w:r>
      <w:r>
        <w:rPr>
          <w:rFonts w:ascii="Times New Roman" w:hAnsi="Times New Roman" w:eastAsia="宋体" w:cs="Times New Roman"/>
          <w:i/>
          <w:iCs/>
          <w:sz w:val="24"/>
          <w:szCs w:val="21"/>
        </w:rPr>
        <w:t>P. cavaleriei</w:t>
      </w:r>
      <w:r>
        <w:rPr>
          <w:rFonts w:ascii="Times New Roman" w:hAnsi="Times New Roman" w:eastAsia="宋体" w:cs="Times New Roman"/>
          <w:sz w:val="24"/>
          <w:szCs w:val="21"/>
        </w:rPr>
        <w:t xml:space="preserve"> Levl. ibid. 11. 1906 et 370. 1907.——</w:t>
      </w:r>
      <w:r>
        <w:rPr>
          <w:rFonts w:ascii="Times New Roman" w:hAnsi="Times New Roman" w:eastAsia="宋体" w:cs="Times New Roman"/>
          <w:i/>
          <w:iCs/>
          <w:sz w:val="24"/>
          <w:szCs w:val="21"/>
        </w:rPr>
        <w:t>p. ericoideum</w:t>
      </w:r>
      <w:r>
        <w:rPr>
          <w:rFonts w:ascii="Times New Roman" w:hAnsi="Times New Roman" w:eastAsia="宋体" w:cs="Times New Roman"/>
          <w:sz w:val="24"/>
          <w:szCs w:val="21"/>
        </w:rPr>
        <w:t xml:space="preserve"> Levl. in Rep. Sp. Nov. Fedde 7: 384, 1909. ——</w:t>
      </w:r>
      <w:r>
        <w:rPr>
          <w:rFonts w:ascii="Times New Roman" w:hAnsi="Times New Roman" w:eastAsia="宋体" w:cs="Times New Roman"/>
          <w:i/>
          <w:iCs/>
          <w:sz w:val="24"/>
          <w:szCs w:val="21"/>
        </w:rPr>
        <w:t>p. esquirolii</w:t>
      </w:r>
      <w:r>
        <w:rPr>
          <w:rFonts w:ascii="Times New Roman" w:hAnsi="Times New Roman" w:eastAsia="宋体" w:cs="Times New Roman"/>
          <w:sz w:val="24"/>
          <w:szCs w:val="21"/>
        </w:rPr>
        <w:t xml:space="preserve"> Levl., ibid. 8: 5 9. 1910. ——</w:t>
      </w:r>
      <w:r>
        <w:rPr>
          <w:rFonts w:ascii="Times New Roman" w:hAnsi="Times New Roman" w:eastAsia="宋体" w:cs="Times New Roman"/>
          <w:i/>
          <w:iCs/>
          <w:sz w:val="24"/>
          <w:szCs w:val="21"/>
        </w:rPr>
        <w:t>P. darrisii</w:t>
      </w:r>
      <w:r>
        <w:rPr>
          <w:rFonts w:ascii="Times New Roman" w:hAnsi="Times New Roman" w:eastAsia="宋体" w:cs="Times New Roman"/>
          <w:sz w:val="24"/>
          <w:szCs w:val="21"/>
        </w:rPr>
        <w:t xml:space="preserve"> Levl., ibid. 12: 536. 1913. ——</w:t>
      </w:r>
      <w:r>
        <w:rPr>
          <w:rFonts w:ascii="Times New Roman" w:hAnsi="Times New Roman" w:eastAsia="宋体" w:cs="Times New Roman"/>
          <w:i/>
          <w:iCs/>
          <w:sz w:val="24"/>
          <w:szCs w:val="21"/>
        </w:rPr>
        <w:t>P. kingianum</w:t>
      </w:r>
      <w:r>
        <w:rPr>
          <w:rFonts w:ascii="Times New Roman" w:hAnsi="Times New Roman" w:eastAsia="宋体" w:cs="Times New Roman"/>
          <w:sz w:val="24"/>
          <w:szCs w:val="21"/>
        </w:rPr>
        <w:t xml:space="preserve"> var. </w:t>
      </w:r>
      <w:r>
        <w:rPr>
          <w:rFonts w:ascii="Times New Roman" w:hAnsi="Times New Roman" w:eastAsia="宋体" w:cs="Times New Roman"/>
          <w:i/>
          <w:iCs/>
          <w:sz w:val="24"/>
          <w:szCs w:val="21"/>
        </w:rPr>
        <w:t>grandifolium</w:t>
      </w:r>
      <w:r>
        <w:rPr>
          <w:rFonts w:ascii="Times New Roman" w:hAnsi="Times New Roman" w:eastAsia="宋体" w:cs="Times New Roman"/>
          <w:sz w:val="24"/>
          <w:szCs w:val="21"/>
        </w:rPr>
        <w:t xml:space="preserve"> D. M. Liu &amp; W. Z. Zeng </w:t>
      </w:r>
      <w:r>
        <w:rPr>
          <w:rFonts w:hint="eastAsia" w:ascii="Times New Roman" w:hAnsi="Times New Roman" w:eastAsia="宋体" w:cs="Times New Roman"/>
          <w:sz w:val="24"/>
          <w:szCs w:val="21"/>
        </w:rPr>
        <w:t>四川植物志</w:t>
      </w:r>
      <w:r>
        <w:rPr>
          <w:rFonts w:ascii="Times New Roman" w:hAnsi="Times New Roman" w:eastAsia="宋体" w:cs="Times New Roman"/>
          <w:sz w:val="24"/>
          <w:szCs w:val="21"/>
        </w:rPr>
        <w:t xml:space="preserve"> 7: 230. 1991; </w:t>
      </w:r>
      <w:r>
        <w:rPr>
          <w:rFonts w:ascii="Times New Roman" w:hAnsi="Times New Roman" w:eastAsia="宋体" w:cs="Times New Roman"/>
          <w:i/>
          <w:iCs/>
          <w:sz w:val="24"/>
          <w:szCs w:val="21"/>
        </w:rPr>
        <w:t>P. kingianum</w:t>
      </w:r>
      <w:r>
        <w:rPr>
          <w:rFonts w:ascii="Times New Roman" w:hAnsi="Times New Roman" w:eastAsia="宋体" w:cs="Times New Roman"/>
          <w:sz w:val="24"/>
          <w:szCs w:val="21"/>
        </w:rPr>
        <w:t xml:space="preserve"> var. </w:t>
      </w:r>
      <w:r>
        <w:rPr>
          <w:rFonts w:ascii="Times New Roman" w:hAnsi="Times New Roman" w:eastAsia="宋体" w:cs="Times New Roman"/>
          <w:i/>
          <w:iCs/>
          <w:sz w:val="24"/>
          <w:szCs w:val="21"/>
        </w:rPr>
        <w:t>uncinatum</w:t>
      </w:r>
      <w:r>
        <w:rPr>
          <w:rFonts w:ascii="Times New Roman" w:hAnsi="Times New Roman" w:eastAsia="宋体" w:cs="Times New Roman"/>
          <w:sz w:val="24"/>
          <w:szCs w:val="21"/>
        </w:rPr>
        <w:t xml:space="preserve"> (Diels) C. Jeffrey &amp; McEwan; </w:t>
      </w:r>
      <w:r>
        <w:rPr>
          <w:rFonts w:ascii="Times New Roman" w:hAnsi="Times New Roman" w:eastAsia="宋体" w:cs="Times New Roman"/>
          <w:i/>
          <w:iCs/>
          <w:sz w:val="24"/>
          <w:szCs w:val="21"/>
        </w:rPr>
        <w:t>P. uncinatum</w:t>
      </w:r>
      <w:r>
        <w:rPr>
          <w:rFonts w:ascii="Times New Roman" w:hAnsi="Times New Roman" w:eastAsia="宋体" w:cs="Times New Roman"/>
          <w:sz w:val="24"/>
          <w:szCs w:val="21"/>
        </w:rPr>
        <w:t xml:space="preserve"> Diels in Notes Bot. Gard. Edinb. 5: 297. 1912.</w:t>
      </w:r>
    </w:p>
    <w:p w14:paraId="1AA3E936">
      <w:p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根状茎近圆柱形或近连珠状，结节有时作不规则菱状，肥厚，直径</w:t>
      </w:r>
      <w:r>
        <w:rPr>
          <w:rFonts w:ascii="Times New Roman" w:hAnsi="Times New Roman" w:eastAsia="宋体" w:cs="Times New Roman"/>
          <w:sz w:val="24"/>
          <w:szCs w:val="21"/>
        </w:rPr>
        <w:t>1-3 cm</w:t>
      </w:r>
      <w:r>
        <w:rPr>
          <w:rFonts w:hint="eastAsia" w:ascii="Times New Roman" w:hAnsi="Times New Roman" w:eastAsia="宋体" w:cs="Times New Roman"/>
          <w:sz w:val="24"/>
          <w:szCs w:val="21"/>
        </w:rPr>
        <w:t>。茎高</w:t>
      </w:r>
      <w:r>
        <w:rPr>
          <w:rFonts w:ascii="Times New Roman" w:hAnsi="Times New Roman" w:eastAsia="宋体" w:cs="Times New Roman"/>
          <w:sz w:val="24"/>
          <w:szCs w:val="21"/>
        </w:rPr>
        <w:t>1-3 m</w:t>
      </w:r>
      <w:r>
        <w:rPr>
          <w:rFonts w:hint="eastAsia" w:ascii="Times New Roman" w:hAnsi="Times New Roman" w:eastAsia="宋体" w:cs="Times New Roman"/>
          <w:sz w:val="24"/>
          <w:szCs w:val="21"/>
        </w:rPr>
        <w:t>，顶端作攀援状。叶轮生，每轮</w:t>
      </w:r>
      <w:r>
        <w:rPr>
          <w:rFonts w:ascii="Times New Roman" w:hAnsi="Times New Roman" w:eastAsia="宋体" w:cs="Times New Roman"/>
          <w:sz w:val="24"/>
          <w:szCs w:val="21"/>
        </w:rPr>
        <w:t>3-10</w:t>
      </w:r>
      <w:r>
        <w:rPr>
          <w:rFonts w:hint="eastAsia" w:ascii="Times New Roman" w:hAnsi="Times New Roman" w:eastAsia="宋体" w:cs="Times New Roman"/>
          <w:sz w:val="24"/>
          <w:szCs w:val="21"/>
        </w:rPr>
        <w:t>枚，条形、条状披针形或披针形，长</w:t>
      </w:r>
      <w:r>
        <w:rPr>
          <w:rFonts w:ascii="Times New Roman" w:hAnsi="Times New Roman" w:eastAsia="宋体" w:cs="Times New Roman"/>
          <w:sz w:val="24"/>
          <w:szCs w:val="21"/>
        </w:rPr>
        <w:t>6 -20</w:t>
      </w:r>
      <w:r>
        <w:rPr>
          <w:rFonts w:hint="eastAsia" w:ascii="Times New Roman" w:hAnsi="Times New Roman" w:eastAsia="宋体" w:cs="Times New Roman"/>
          <w:sz w:val="24"/>
          <w:szCs w:val="21"/>
        </w:rPr>
        <w:t>（</w:t>
      </w:r>
      <w:r>
        <w:rPr>
          <w:rFonts w:ascii="Times New Roman" w:hAnsi="Times New Roman" w:eastAsia="宋体" w:cs="Times New Roman"/>
          <w:sz w:val="24"/>
          <w:szCs w:val="21"/>
        </w:rPr>
        <w:t>-25</w:t>
      </w:r>
      <w:r>
        <w:rPr>
          <w:rFonts w:hint="eastAsia" w:ascii="Times New Roman" w:hAnsi="Times New Roman" w:eastAsia="宋体" w:cs="Times New Roman"/>
          <w:sz w:val="24"/>
          <w:szCs w:val="21"/>
        </w:rPr>
        <w:t>）</w:t>
      </w:r>
      <w:r>
        <w:rPr>
          <w:rFonts w:ascii="Times New Roman" w:hAnsi="Times New Roman" w:eastAsia="宋体" w:cs="Times New Roman"/>
          <w:sz w:val="24"/>
          <w:szCs w:val="21"/>
        </w:rPr>
        <w:t xml:space="preserve"> cm</w:t>
      </w:r>
      <w:r>
        <w:rPr>
          <w:rFonts w:hint="eastAsia" w:ascii="Times New Roman" w:hAnsi="Times New Roman" w:eastAsia="宋体" w:cs="Times New Roman"/>
          <w:sz w:val="24"/>
          <w:szCs w:val="21"/>
        </w:rPr>
        <w:t>，宽</w:t>
      </w:r>
      <w:r>
        <w:rPr>
          <w:rFonts w:ascii="Times New Roman" w:hAnsi="Times New Roman" w:eastAsia="宋体" w:cs="Times New Roman"/>
          <w:sz w:val="24"/>
          <w:szCs w:val="21"/>
        </w:rPr>
        <w:t>3-30 mm</w:t>
      </w:r>
      <w:r>
        <w:rPr>
          <w:rFonts w:hint="eastAsia" w:ascii="Times New Roman" w:hAnsi="Times New Roman" w:eastAsia="宋体" w:cs="Times New Roman"/>
          <w:sz w:val="24"/>
          <w:szCs w:val="21"/>
        </w:rPr>
        <w:t>，先端拳卷。花序具（</w:t>
      </w:r>
      <w:r>
        <w:rPr>
          <w:rFonts w:ascii="Times New Roman" w:hAnsi="Times New Roman" w:eastAsia="宋体" w:cs="Times New Roman"/>
          <w:sz w:val="24"/>
          <w:szCs w:val="21"/>
        </w:rPr>
        <w:t>1-</w:t>
      </w:r>
      <w:r>
        <w:rPr>
          <w:rFonts w:hint="eastAsia" w:ascii="Times New Roman" w:hAnsi="Times New Roman" w:eastAsia="宋体" w:cs="Times New Roman"/>
          <w:sz w:val="24"/>
          <w:szCs w:val="21"/>
        </w:rPr>
        <w:t>）</w:t>
      </w:r>
      <w:r>
        <w:rPr>
          <w:rFonts w:ascii="Times New Roman" w:hAnsi="Times New Roman" w:eastAsia="宋体" w:cs="Times New Roman"/>
          <w:sz w:val="24"/>
          <w:szCs w:val="21"/>
        </w:rPr>
        <w:t>2-4</w:t>
      </w:r>
      <w:r>
        <w:rPr>
          <w:rFonts w:hint="eastAsia" w:ascii="Times New Roman" w:hAnsi="Times New Roman" w:eastAsia="宋体" w:cs="Times New Roman"/>
          <w:sz w:val="24"/>
          <w:szCs w:val="21"/>
        </w:rPr>
        <w:t>（</w:t>
      </w:r>
      <w:r>
        <w:rPr>
          <w:rFonts w:ascii="Times New Roman" w:hAnsi="Times New Roman" w:eastAsia="宋体" w:cs="Times New Roman"/>
          <w:sz w:val="24"/>
          <w:szCs w:val="21"/>
        </w:rPr>
        <w:t>-6</w:t>
      </w:r>
      <w:r>
        <w:rPr>
          <w:rFonts w:hint="eastAsia" w:ascii="Times New Roman" w:hAnsi="Times New Roman" w:eastAsia="宋体" w:cs="Times New Roman"/>
          <w:sz w:val="24"/>
          <w:szCs w:val="21"/>
        </w:rPr>
        <w:t>）花，总花梗下垂，长</w:t>
      </w:r>
      <w:r>
        <w:rPr>
          <w:rFonts w:ascii="Times New Roman" w:hAnsi="Times New Roman" w:eastAsia="宋体" w:cs="Times New Roman"/>
          <w:sz w:val="24"/>
          <w:szCs w:val="21"/>
        </w:rPr>
        <w:t>1-2 cm</w:t>
      </w:r>
      <w:r>
        <w:rPr>
          <w:rFonts w:hint="eastAsia" w:ascii="Times New Roman" w:hAnsi="Times New Roman" w:eastAsia="宋体" w:cs="Times New Roman"/>
          <w:sz w:val="24"/>
          <w:szCs w:val="21"/>
        </w:rPr>
        <w:t>，花梗长</w:t>
      </w:r>
      <w:r>
        <w:rPr>
          <w:rFonts w:ascii="Times New Roman" w:hAnsi="Times New Roman" w:eastAsia="宋体" w:cs="Times New Roman"/>
          <w:sz w:val="24"/>
          <w:szCs w:val="21"/>
        </w:rPr>
        <w:t>0.5-1.5 cm</w:t>
      </w:r>
      <w:r>
        <w:rPr>
          <w:rFonts w:hint="eastAsia" w:ascii="Times New Roman" w:hAnsi="Times New Roman" w:eastAsia="宋体" w:cs="Times New Roman"/>
          <w:sz w:val="24"/>
          <w:szCs w:val="21"/>
        </w:rPr>
        <w:t>，苞片膜质，微小，通常位于花梗下部；花被粉红色，长</w:t>
      </w:r>
      <w:r>
        <w:rPr>
          <w:rFonts w:ascii="Times New Roman" w:hAnsi="Times New Roman" w:eastAsia="宋体" w:cs="Times New Roman"/>
          <w:sz w:val="24"/>
          <w:szCs w:val="21"/>
        </w:rPr>
        <w:t>18-25 mm</w:t>
      </w:r>
      <w:r>
        <w:rPr>
          <w:rFonts w:hint="eastAsia" w:ascii="Times New Roman" w:hAnsi="Times New Roman" w:eastAsia="宋体" w:cs="Times New Roman"/>
          <w:sz w:val="24"/>
          <w:szCs w:val="21"/>
        </w:rPr>
        <w:t>，裂片长</w:t>
      </w:r>
      <w:r>
        <w:rPr>
          <w:rFonts w:ascii="Times New Roman" w:hAnsi="Times New Roman" w:eastAsia="宋体" w:cs="Times New Roman"/>
          <w:sz w:val="24"/>
          <w:szCs w:val="21"/>
        </w:rPr>
        <w:t>3-5 mm</w:t>
      </w:r>
      <w:r>
        <w:rPr>
          <w:rFonts w:hint="eastAsia" w:ascii="Times New Roman" w:hAnsi="Times New Roman" w:eastAsia="宋体" w:cs="Times New Roman"/>
          <w:sz w:val="24"/>
          <w:szCs w:val="21"/>
        </w:rPr>
        <w:t>；花丝长</w:t>
      </w:r>
      <w:r>
        <w:rPr>
          <w:rFonts w:ascii="Times New Roman" w:hAnsi="Times New Roman" w:eastAsia="宋体" w:cs="Times New Roman"/>
          <w:sz w:val="24"/>
          <w:szCs w:val="21"/>
        </w:rPr>
        <w:t>3-5 mm</w:t>
      </w:r>
      <w:r>
        <w:rPr>
          <w:rFonts w:hint="eastAsia" w:ascii="Times New Roman" w:hAnsi="Times New Roman" w:eastAsia="宋体" w:cs="Times New Roman"/>
          <w:sz w:val="24"/>
          <w:szCs w:val="21"/>
        </w:rPr>
        <w:t>，丝状或两侧扁，花药长</w:t>
      </w:r>
      <w:r>
        <w:rPr>
          <w:rFonts w:ascii="Times New Roman" w:hAnsi="Times New Roman" w:eastAsia="宋体" w:cs="Times New Roman"/>
          <w:sz w:val="24"/>
          <w:szCs w:val="21"/>
        </w:rPr>
        <w:t xml:space="preserve"> 4-6 mm</w:t>
      </w:r>
      <w:r>
        <w:rPr>
          <w:rFonts w:hint="eastAsia" w:ascii="Times New Roman" w:hAnsi="Times New Roman" w:eastAsia="宋体" w:cs="Times New Roman"/>
          <w:sz w:val="24"/>
          <w:szCs w:val="21"/>
        </w:rPr>
        <w:t>；子房长</w:t>
      </w:r>
      <w:r>
        <w:rPr>
          <w:rFonts w:ascii="Times New Roman" w:hAnsi="Times New Roman" w:eastAsia="宋体" w:cs="Times New Roman"/>
          <w:sz w:val="24"/>
          <w:szCs w:val="21"/>
        </w:rPr>
        <w:t>4-6 mm</w:t>
      </w:r>
      <w:r>
        <w:rPr>
          <w:rFonts w:hint="eastAsia" w:ascii="Times New Roman" w:hAnsi="Times New Roman" w:eastAsia="宋体" w:cs="Times New Roman"/>
          <w:sz w:val="24"/>
          <w:szCs w:val="21"/>
        </w:rPr>
        <w:t>，花柱长（</w:t>
      </w:r>
      <w:r>
        <w:rPr>
          <w:rFonts w:ascii="Times New Roman" w:hAnsi="Times New Roman" w:eastAsia="宋体" w:cs="Times New Roman"/>
          <w:sz w:val="24"/>
          <w:szCs w:val="21"/>
        </w:rPr>
        <w:t>8-</w:t>
      </w:r>
      <w:r>
        <w:rPr>
          <w:rFonts w:hint="eastAsia" w:ascii="Times New Roman" w:hAnsi="Times New Roman" w:eastAsia="宋体" w:cs="Times New Roman"/>
          <w:sz w:val="24"/>
          <w:szCs w:val="21"/>
        </w:rPr>
        <w:t>）</w:t>
      </w:r>
      <w:r>
        <w:rPr>
          <w:rFonts w:ascii="Times New Roman" w:hAnsi="Times New Roman" w:eastAsia="宋体" w:cs="Times New Roman"/>
          <w:sz w:val="24"/>
          <w:szCs w:val="21"/>
        </w:rPr>
        <w:t>10-14 mm</w:t>
      </w:r>
      <w:r>
        <w:rPr>
          <w:rFonts w:hint="eastAsia" w:ascii="Times New Roman" w:hAnsi="Times New Roman" w:eastAsia="宋体" w:cs="Times New Roman"/>
          <w:sz w:val="24"/>
          <w:szCs w:val="21"/>
        </w:rPr>
        <w:t>。浆果红色，直径</w:t>
      </w:r>
      <w:r>
        <w:rPr>
          <w:rFonts w:ascii="Times New Roman" w:hAnsi="Times New Roman" w:eastAsia="宋体" w:cs="Times New Roman"/>
          <w:sz w:val="24"/>
          <w:szCs w:val="21"/>
        </w:rPr>
        <w:t>1-1.5 cm</w:t>
      </w:r>
      <w:r>
        <w:rPr>
          <w:rFonts w:hint="eastAsia" w:ascii="Times New Roman" w:hAnsi="Times New Roman" w:eastAsia="宋体" w:cs="Times New Roman"/>
          <w:sz w:val="24"/>
          <w:szCs w:val="21"/>
        </w:rPr>
        <w:t>，具</w:t>
      </w:r>
      <w:r>
        <w:rPr>
          <w:rFonts w:ascii="Times New Roman" w:hAnsi="Times New Roman" w:eastAsia="宋体" w:cs="Times New Roman"/>
          <w:sz w:val="24"/>
          <w:szCs w:val="21"/>
        </w:rPr>
        <w:t>7-12</w:t>
      </w:r>
      <w:r>
        <w:rPr>
          <w:rFonts w:hint="eastAsia" w:ascii="Times New Roman" w:hAnsi="Times New Roman" w:eastAsia="宋体" w:cs="Times New Roman"/>
          <w:sz w:val="24"/>
          <w:szCs w:val="21"/>
        </w:rPr>
        <w:t>颗种子。花期</w:t>
      </w:r>
      <w:r>
        <w:rPr>
          <w:rFonts w:ascii="Times New Roman" w:hAnsi="Times New Roman" w:eastAsia="宋体" w:cs="Times New Roman"/>
          <w:sz w:val="24"/>
          <w:szCs w:val="21"/>
        </w:rPr>
        <w:t>3-5</w:t>
      </w:r>
      <w:r>
        <w:rPr>
          <w:rFonts w:hint="eastAsia" w:ascii="Times New Roman" w:hAnsi="Times New Roman" w:eastAsia="宋体" w:cs="Times New Roman"/>
          <w:sz w:val="24"/>
          <w:szCs w:val="21"/>
        </w:rPr>
        <w:t>月，果期</w:t>
      </w:r>
      <w:r>
        <w:rPr>
          <w:rFonts w:ascii="Times New Roman" w:hAnsi="Times New Roman" w:eastAsia="宋体" w:cs="Times New Roman"/>
          <w:sz w:val="24"/>
          <w:szCs w:val="21"/>
        </w:rPr>
        <w:t>9-10</w:t>
      </w:r>
      <w:r>
        <w:rPr>
          <w:rFonts w:hint="eastAsia" w:ascii="Times New Roman" w:hAnsi="Times New Roman" w:eastAsia="宋体" w:cs="Times New Roman"/>
          <w:sz w:val="24"/>
          <w:szCs w:val="21"/>
        </w:rPr>
        <w:t>月。</w:t>
      </w:r>
    </w:p>
    <w:p w14:paraId="3277629F">
      <w:pPr>
        <w:spacing w:before="156" w:line="360" w:lineRule="auto"/>
        <w:jc w:val="center"/>
        <w:rPr>
          <w:rFonts w:ascii="Times New Roman" w:hAnsi="Times New Roman" w:eastAsia="宋体" w:cs="Times New Roman"/>
          <w:sz w:val="24"/>
          <w:szCs w:val="21"/>
        </w:rPr>
      </w:pPr>
      <w:r>
        <w:rPr>
          <w:rFonts w:ascii="Times New Roman" w:hAnsi="Times New Roman" w:eastAsia="宋体" w:cs="Times New Roman"/>
          <w:sz w:val="24"/>
          <w:szCs w:val="21"/>
        </w:rPr>
        <w:drawing>
          <wp:inline distT="0" distB="0" distL="0" distR="0">
            <wp:extent cx="1558925" cy="2332990"/>
            <wp:effectExtent l="0" t="0" r="6350" b="9525"/>
            <wp:docPr id="1" name="currentImg" descr="http://imgsrc.baidu.com/forum/w=580/sign=e0b9347694dda144da096cba82b6d009/40de476eddc451da6da59c8eb5fd5266d01632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urrentImg" descr="http://imgsrc.baidu.com/forum/w=580/sign=e0b9347694dda144da096cba82b6d009/40de476eddc451da6da59c8eb5fd5266d0163214.jpg"/>
                    <pic:cNvPicPr>
                      <a:picLocks noChangeAspect="1" noChangeArrowheads="1"/>
                    </pic:cNvPicPr>
                  </pic:nvPicPr>
                  <pic:blipFill>
                    <a:blip r:embed="rId6" cstate="print"/>
                    <a:srcRect t="4822"/>
                    <a:stretch>
                      <a:fillRect/>
                    </a:stretch>
                  </pic:blipFill>
                  <pic:spPr>
                    <a:xfrm>
                      <a:off x="0" y="0"/>
                      <a:ext cx="1558925" cy="2332990"/>
                    </a:xfrm>
                    <a:prstGeom prst="rect">
                      <a:avLst/>
                    </a:prstGeom>
                    <a:noFill/>
                    <a:ln w="9525">
                      <a:noFill/>
                      <a:miter lim="800000"/>
                      <a:headEnd/>
                      <a:tailEnd/>
                    </a:ln>
                  </pic:spPr>
                </pic:pic>
              </a:graphicData>
            </a:graphic>
          </wp:inline>
        </w:drawing>
      </w:r>
    </w:p>
    <w:p w14:paraId="21AECD23">
      <w:pPr>
        <w:spacing w:line="360" w:lineRule="auto"/>
        <w:ind w:firstLine="480"/>
        <w:jc w:val="center"/>
        <w:rPr>
          <w:rFonts w:ascii="Times New Roman" w:hAnsi="Times New Roman" w:eastAsia="宋体" w:cs="Times New Roman"/>
          <w:bCs/>
          <w:sz w:val="24"/>
          <w:szCs w:val="21"/>
        </w:rPr>
      </w:pPr>
      <w:r>
        <w:rPr>
          <w:rFonts w:hint="eastAsia" w:ascii="Times New Roman" w:hAnsi="Times New Roman" w:eastAsia="宋体" w:cs="Times New Roman"/>
          <w:bCs/>
          <w:sz w:val="24"/>
          <w:szCs w:val="21"/>
        </w:rPr>
        <w:t>图</w:t>
      </w:r>
      <w:r>
        <w:rPr>
          <w:rFonts w:ascii="Times New Roman" w:hAnsi="Times New Roman" w:eastAsia="宋体" w:cs="Times New Roman"/>
          <w:bCs/>
          <w:sz w:val="24"/>
          <w:szCs w:val="21"/>
        </w:rPr>
        <w:t>5.6</w:t>
      </w:r>
      <w:r>
        <w:rPr>
          <w:rFonts w:hint="eastAsia" w:ascii="Times New Roman" w:hAnsi="Times New Roman" w:eastAsia="宋体" w:cs="Times New Roman"/>
          <w:bCs/>
          <w:sz w:val="24"/>
          <w:szCs w:val="21"/>
        </w:rPr>
        <w:t>　滇黄精（仿《中国植物志》）</w:t>
      </w:r>
    </w:p>
    <w:p w14:paraId="16A61709">
      <w:p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产云南、四川、重庆、贵州。生林下、灌丛或阴湿草坡，有时生岩石上，海拔</w:t>
      </w:r>
      <w:r>
        <w:rPr>
          <w:rFonts w:ascii="Times New Roman" w:hAnsi="Times New Roman" w:eastAsia="宋体" w:cs="Times New Roman"/>
          <w:sz w:val="24"/>
          <w:szCs w:val="21"/>
        </w:rPr>
        <w:t>700-3600 m</w:t>
      </w:r>
      <w:r>
        <w:rPr>
          <w:rFonts w:hint="eastAsia" w:ascii="Times New Roman" w:hAnsi="Times New Roman" w:eastAsia="宋体" w:cs="Times New Roman"/>
          <w:sz w:val="24"/>
          <w:szCs w:val="21"/>
        </w:rPr>
        <w:t>。越南、缅甸也有分布。</w:t>
      </w:r>
    </w:p>
    <w:p w14:paraId="61946B5C">
      <w:pPr>
        <w:spacing w:line="360" w:lineRule="auto"/>
        <w:ind w:firstLine="480" w:firstLineChars="200"/>
        <w:rPr>
          <w:rFonts w:ascii="Times New Roman" w:hAnsi="Times New Roman" w:eastAsia="宋体" w:cs="Times New Roman"/>
          <w:b/>
          <w:sz w:val="24"/>
          <w:szCs w:val="21"/>
        </w:rPr>
      </w:pPr>
      <w:r>
        <w:rPr>
          <w:rFonts w:hint="eastAsia" w:ascii="Times New Roman" w:hAnsi="Times New Roman" w:eastAsia="宋体" w:cs="Times New Roman"/>
          <w:sz w:val="24"/>
          <w:szCs w:val="21"/>
        </w:rPr>
        <w:t>本种变异相当大，在我国标本中，花丝可由短而扁至长而成丝状，但这种变异与其它性状的分化和地理分布上均无相关连，因而不足以作为区分种的特征。据《印度支那植物志》，越南标本的花柱可短至</w:t>
      </w:r>
      <w:r>
        <w:rPr>
          <w:rFonts w:ascii="Times New Roman" w:hAnsi="Times New Roman" w:eastAsia="宋体" w:cs="Times New Roman"/>
          <w:sz w:val="24"/>
          <w:szCs w:val="21"/>
        </w:rPr>
        <w:t>6 mm</w:t>
      </w:r>
      <w:r>
        <w:rPr>
          <w:rFonts w:hint="eastAsia" w:ascii="Times New Roman" w:hAnsi="Times New Roman" w:eastAsia="宋体" w:cs="Times New Roman"/>
          <w:sz w:val="24"/>
          <w:szCs w:val="21"/>
        </w:rPr>
        <w:t>。在我国云南大理、禄丰一带，有一类型，其植株较矮小，高仅达</w:t>
      </w:r>
      <w:r>
        <w:rPr>
          <w:rFonts w:ascii="Times New Roman" w:hAnsi="Times New Roman" w:eastAsia="宋体" w:cs="Times New Roman"/>
          <w:sz w:val="24"/>
          <w:szCs w:val="21"/>
        </w:rPr>
        <w:t>60 cm</w:t>
      </w:r>
      <w:r>
        <w:rPr>
          <w:rFonts w:hint="eastAsia" w:ascii="Times New Roman" w:hAnsi="Times New Roman" w:eastAsia="宋体" w:cs="Times New Roman"/>
          <w:sz w:val="24"/>
          <w:szCs w:val="21"/>
        </w:rPr>
        <w:t>，花序具</w:t>
      </w:r>
      <w:r>
        <w:rPr>
          <w:rFonts w:ascii="Times New Roman" w:hAnsi="Times New Roman" w:eastAsia="宋体" w:cs="Times New Roman"/>
          <w:sz w:val="24"/>
          <w:szCs w:val="21"/>
        </w:rPr>
        <w:t>1-2</w:t>
      </w:r>
      <w:r>
        <w:rPr>
          <w:rFonts w:hint="eastAsia" w:ascii="Times New Roman" w:hAnsi="Times New Roman" w:eastAsia="宋体" w:cs="Times New Roman"/>
          <w:sz w:val="24"/>
          <w:szCs w:val="21"/>
        </w:rPr>
        <w:t>花，仅生于下部叶腋间，花被白色，曾被命名为小黄精</w:t>
      </w:r>
      <w:r>
        <w:rPr>
          <w:rFonts w:ascii="Times New Roman" w:hAnsi="Times New Roman" w:eastAsia="宋体" w:cs="Times New Roman"/>
          <w:i/>
          <w:sz w:val="24"/>
          <w:szCs w:val="21"/>
        </w:rPr>
        <w:t>P. uncinatum</w:t>
      </w:r>
      <w:r>
        <w:rPr>
          <w:rFonts w:ascii="Times New Roman" w:hAnsi="Times New Roman" w:eastAsia="宋体" w:cs="Times New Roman"/>
          <w:sz w:val="24"/>
          <w:szCs w:val="21"/>
        </w:rPr>
        <w:t xml:space="preserve"> Diels</w:t>
      </w:r>
      <w:r>
        <w:rPr>
          <w:rFonts w:hint="eastAsia" w:ascii="Times New Roman" w:hAnsi="Times New Roman" w:eastAsia="宋体" w:cs="Times New Roman"/>
          <w:sz w:val="24"/>
          <w:szCs w:val="21"/>
        </w:rPr>
        <w:t>（</w:t>
      </w:r>
      <w:r>
        <w:rPr>
          <w:rFonts w:ascii="Times New Roman" w:hAnsi="Times New Roman" w:eastAsia="宋体" w:cs="Times New Roman"/>
          <w:sz w:val="24"/>
          <w:szCs w:val="21"/>
        </w:rPr>
        <w:t>in Notes Bot. Gard. Edinb. 5: 297. 1912</w:t>
      </w:r>
      <w:r>
        <w:rPr>
          <w:rFonts w:hint="eastAsia" w:ascii="Times New Roman" w:hAnsi="Times New Roman" w:eastAsia="宋体" w:cs="Times New Roman"/>
          <w:sz w:val="24"/>
          <w:szCs w:val="21"/>
        </w:rPr>
        <w:t>）。在四川、重庆和湖北西部，另有一类型</w:t>
      </w:r>
      <w:r>
        <w:rPr>
          <w:rFonts w:hint="eastAsia" w:ascii="Times New Roman" w:hAnsi="Times New Roman" w:eastAsia="宋体" w:cs="Times New Roman"/>
          <w:i/>
          <w:sz w:val="24"/>
          <w:szCs w:val="21"/>
        </w:rPr>
        <w:t>，</w:t>
      </w:r>
      <w:r>
        <w:rPr>
          <w:rFonts w:hint="eastAsia" w:ascii="Times New Roman" w:hAnsi="Times New Roman" w:eastAsia="宋体" w:cs="Times New Roman"/>
          <w:sz w:val="24"/>
          <w:szCs w:val="21"/>
        </w:rPr>
        <w:t>其植株亦高大，但其花为淡黄色或绿白色，苞片均位于花梗基部，在四川、重庆有大量栽培，称为猫儿姜或猪肾草，它们是否都值得作为一个分类群而独立，需要今后观察更多的标本结合现代分类手段而决定。</w:t>
      </w:r>
    </w:p>
    <w:p w14:paraId="1EDB99AE">
      <w:pPr>
        <w:spacing w:line="360" w:lineRule="auto"/>
        <w:ind w:firstLine="480" w:firstLineChars="200"/>
        <w:rPr>
          <w:rFonts w:ascii="Times New Roman" w:hAnsi="Times New Roman" w:eastAsia="宋体" w:cs="Times New Roman"/>
          <w:b/>
          <w:sz w:val="24"/>
          <w:szCs w:val="21"/>
        </w:rPr>
      </w:pPr>
      <w:r>
        <w:rPr>
          <w:rFonts w:hint="eastAsia" w:ascii="Times New Roman" w:hAnsi="Times New Roman" w:eastAsia="宋体" w:cs="Times New Roman"/>
          <w:bCs/>
          <w:sz w:val="24"/>
          <w:szCs w:val="21"/>
        </w:rPr>
        <w:t>（四）大叶滇黄精</w:t>
      </w:r>
      <w:r>
        <w:rPr>
          <w:rFonts w:ascii="Times New Roman" w:hAnsi="Times New Roman" w:eastAsia="宋体" w:cs="Times New Roman"/>
          <w:i/>
          <w:sz w:val="24"/>
          <w:szCs w:val="21"/>
        </w:rPr>
        <w:t>P. kingianum</w:t>
      </w:r>
      <w:r>
        <w:rPr>
          <w:rFonts w:ascii="Times New Roman" w:hAnsi="Times New Roman" w:eastAsia="宋体" w:cs="Times New Roman"/>
          <w:sz w:val="24"/>
          <w:szCs w:val="21"/>
        </w:rPr>
        <w:t xml:space="preserve"> var. </w:t>
      </w:r>
      <w:r>
        <w:rPr>
          <w:rFonts w:ascii="Times New Roman" w:hAnsi="Times New Roman" w:eastAsia="宋体" w:cs="Times New Roman"/>
          <w:i/>
          <w:sz w:val="24"/>
          <w:szCs w:val="21"/>
        </w:rPr>
        <w:t>grandifolium</w:t>
      </w:r>
    </w:p>
    <w:p w14:paraId="08142678">
      <w:p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大叶滇黄精作为滇黄精的变种，因其生物产量大、适应性强、口感佳等优点，在四川、重庆、湖北等地作为药材黄精大量栽培。研究大叶滇黄精生物特性、人工栽培关键技术对黄精产业发展具有重要意义。</w:t>
      </w:r>
    </w:p>
    <w:p w14:paraId="396657B2">
      <w:pPr>
        <w:spacing w:line="360" w:lineRule="auto"/>
        <w:ind w:firstLine="480" w:firstLineChars="200"/>
        <w:rPr>
          <w:rFonts w:ascii="Times New Roman" w:hAnsi="Times New Roman" w:eastAsia="宋体" w:cs="Times New Roman"/>
          <w:sz w:val="24"/>
          <w:szCs w:val="21"/>
        </w:rPr>
      </w:pPr>
      <w:r>
        <w:rPr>
          <w:rFonts w:ascii="Times New Roman" w:hAnsi="Times New Roman" w:eastAsia="宋体" w:cs="Times New Roman"/>
          <w:sz w:val="24"/>
          <w:szCs w:val="21"/>
        </w:rPr>
        <w:t xml:space="preserve">1. </w:t>
      </w:r>
      <w:r>
        <w:rPr>
          <w:rFonts w:hint="eastAsia" w:ascii="Times New Roman" w:hAnsi="Times New Roman" w:eastAsia="宋体" w:cs="Times New Roman"/>
          <w:sz w:val="24"/>
          <w:szCs w:val="21"/>
        </w:rPr>
        <w:t>大叶滇黄精名称变迁的考证</w:t>
      </w:r>
    </w:p>
    <w:p w14:paraId="25E3DBF2">
      <w:p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大叶滇黄精在</w:t>
      </w:r>
      <w:bookmarkStart w:id="4" w:name="_Hlk165639554"/>
      <w:r>
        <w:rPr>
          <w:rFonts w:hint="eastAsia" w:ascii="Times New Roman" w:hAnsi="Times New Roman" w:eastAsia="宋体" w:cs="Times New Roman"/>
          <w:sz w:val="24"/>
          <w:szCs w:val="21"/>
        </w:rPr>
        <w:t>《中国植物志》（</w:t>
      </w:r>
      <w:r>
        <w:rPr>
          <w:rFonts w:ascii="Times New Roman" w:hAnsi="Times New Roman" w:eastAsia="宋体" w:cs="Times New Roman"/>
          <w:sz w:val="24"/>
          <w:szCs w:val="21"/>
        </w:rPr>
        <w:t>1978</w:t>
      </w:r>
      <w:r>
        <w:rPr>
          <w:rFonts w:hint="eastAsia" w:ascii="Times New Roman" w:hAnsi="Times New Roman" w:eastAsia="宋体" w:cs="Times New Roman"/>
          <w:sz w:val="24"/>
          <w:szCs w:val="21"/>
        </w:rPr>
        <w:t>年）中文版</w:t>
      </w:r>
      <w:bookmarkEnd w:id="4"/>
      <w:r>
        <w:rPr>
          <w:rFonts w:hint="eastAsia" w:ascii="Times New Roman" w:hAnsi="Times New Roman" w:eastAsia="宋体" w:cs="Times New Roman"/>
          <w:sz w:val="24"/>
          <w:szCs w:val="21"/>
        </w:rPr>
        <w:t>中将其列为滇黄精的一个类型，其后《四川植物志》（</w:t>
      </w:r>
      <w:r>
        <w:rPr>
          <w:rFonts w:ascii="Times New Roman" w:hAnsi="Times New Roman" w:eastAsia="宋体" w:cs="Times New Roman"/>
          <w:sz w:val="24"/>
          <w:szCs w:val="21"/>
        </w:rPr>
        <w:t>1981</w:t>
      </w:r>
      <w:r>
        <w:rPr>
          <w:rFonts w:hint="eastAsia" w:ascii="Times New Roman" w:hAnsi="Times New Roman" w:eastAsia="宋体" w:cs="Times New Roman"/>
          <w:sz w:val="24"/>
          <w:szCs w:val="21"/>
        </w:rPr>
        <w:t>年）将其列为变种</w:t>
      </w:r>
      <w:r>
        <w:rPr>
          <w:rFonts w:ascii="Times New Roman" w:hAnsi="Times New Roman" w:eastAsia="宋体" w:cs="Times New Roman"/>
          <w:i/>
          <w:sz w:val="24"/>
          <w:szCs w:val="21"/>
        </w:rPr>
        <w:t>P. kingianum</w:t>
      </w:r>
      <w:r>
        <w:rPr>
          <w:rFonts w:ascii="Times New Roman" w:hAnsi="Times New Roman" w:eastAsia="宋体" w:cs="Times New Roman"/>
          <w:sz w:val="24"/>
          <w:szCs w:val="21"/>
        </w:rPr>
        <w:t xml:space="preserve"> var. </w:t>
      </w:r>
      <w:r>
        <w:rPr>
          <w:rFonts w:ascii="Times New Roman" w:hAnsi="Times New Roman" w:eastAsia="宋体" w:cs="Times New Roman"/>
          <w:i/>
          <w:sz w:val="24"/>
          <w:szCs w:val="21"/>
        </w:rPr>
        <w:t>grandifolium</w:t>
      </w:r>
      <w:r>
        <w:rPr>
          <w:rFonts w:hint="eastAsia" w:ascii="Times New Roman" w:hAnsi="Times New Roman" w:eastAsia="宋体" w:cs="Times New Roman"/>
          <w:sz w:val="24"/>
          <w:szCs w:val="21"/>
        </w:rPr>
        <w:t>，并收载于《中国植物志》英文版（</w:t>
      </w:r>
      <w:r>
        <w:rPr>
          <w:rFonts w:ascii="Times New Roman" w:hAnsi="Times New Roman" w:eastAsia="宋体" w:cs="Times New Roman"/>
          <w:sz w:val="24"/>
          <w:szCs w:val="21"/>
        </w:rPr>
        <w:t>2000</w:t>
      </w:r>
      <w:r>
        <w:rPr>
          <w:rFonts w:hint="eastAsia" w:ascii="Times New Roman" w:hAnsi="Times New Roman" w:eastAsia="宋体" w:cs="Times New Roman"/>
          <w:sz w:val="24"/>
          <w:szCs w:val="21"/>
        </w:rPr>
        <w:t>年）。《中国植物志》（</w:t>
      </w:r>
      <w:r>
        <w:rPr>
          <w:rFonts w:ascii="Times New Roman" w:hAnsi="Times New Roman" w:eastAsia="宋体" w:cs="Times New Roman"/>
          <w:sz w:val="24"/>
          <w:szCs w:val="21"/>
        </w:rPr>
        <w:t>1978</w:t>
      </w:r>
      <w:r>
        <w:rPr>
          <w:rFonts w:hint="eastAsia" w:ascii="Times New Roman" w:hAnsi="Times New Roman" w:eastAsia="宋体" w:cs="Times New Roman"/>
          <w:sz w:val="24"/>
          <w:szCs w:val="21"/>
        </w:rPr>
        <w:t>年）中文版明确在四川、重庆有大量栽培，称为猫儿姜或猪肾草；《四川植物志》明确记载根茎为中药黄精的主要来源之一。</w:t>
      </w:r>
    </w:p>
    <w:p w14:paraId="15FEB9C1">
      <w:pPr>
        <w:spacing w:line="360" w:lineRule="auto"/>
        <w:ind w:firstLine="480" w:firstLineChars="200"/>
        <w:jc w:val="left"/>
        <w:rPr>
          <w:rFonts w:ascii="Times New Roman" w:hAnsi="Times New Roman" w:eastAsia="宋体" w:cs="Times New Roman"/>
          <w:sz w:val="24"/>
          <w:szCs w:val="21"/>
        </w:rPr>
      </w:pPr>
      <w:r>
        <w:rPr>
          <w:rFonts w:ascii="Times New Roman" w:hAnsi="Times New Roman" w:eastAsia="宋体" w:cs="Times New Roman"/>
          <w:sz w:val="24"/>
          <w:szCs w:val="21"/>
        </w:rPr>
        <w:t>2. 生物学特性</w:t>
      </w:r>
    </w:p>
    <w:p w14:paraId="1D61F5C4">
      <w:pPr>
        <w:spacing w:line="360" w:lineRule="auto"/>
        <w:ind w:firstLine="480" w:firstLineChars="200"/>
        <w:rPr>
          <w:rFonts w:ascii="Times New Roman" w:hAnsi="Times New Roman" w:eastAsia="宋体" w:cs="Times New Roman"/>
          <w:color w:val="000000"/>
          <w:sz w:val="24"/>
          <w:szCs w:val="21"/>
        </w:rPr>
      </w:pPr>
      <w:r>
        <w:rPr>
          <w:rFonts w:hint="eastAsia" w:ascii="Times New Roman" w:hAnsi="Times New Roman" w:eastAsia="宋体" w:cs="Times New Roman"/>
          <w:color w:val="000000"/>
          <w:sz w:val="24"/>
          <w:szCs w:val="21"/>
        </w:rPr>
        <w:t>黄精属植物由于种子种胚发育状况、种子结构、内源抑制物等内外源因素影响均需要历经休眠才能萌发。成熟黄精种子的胚呈棒状，尚未发育完全，同时种子萌发所需有机物和植物激素等的转化未完成，需在适宜条件中完成器官分化（形态休眠）和生理后熟（生理休眠）才能萌发。而且，黄精种子的胚乳细胞小、细胞质浓厚、胞间隙小、排列致密、机械强度大，导致种子通透性差，吸水速率慢，影响种子萌发，延长休眠期（种壳休眠）。另外，胚乳和种皮均存在活性较高的</w:t>
      </w:r>
      <w:r>
        <w:rPr>
          <w:rFonts w:ascii="Times New Roman" w:hAnsi="Times New Roman" w:eastAsia="宋体" w:cs="Times New Roman"/>
          <w:color w:val="000000"/>
          <w:sz w:val="24"/>
          <w:szCs w:val="21"/>
        </w:rPr>
        <w:t>ABA</w:t>
      </w:r>
      <w:r>
        <w:rPr>
          <w:rFonts w:hint="eastAsia" w:ascii="Times New Roman" w:hAnsi="Times New Roman" w:eastAsia="宋体" w:cs="Times New Roman"/>
          <w:color w:val="000000"/>
          <w:sz w:val="24"/>
          <w:szCs w:val="21"/>
        </w:rPr>
        <w:t>等内源抑制物质，因此刚采摘的黄精种子可以通过层积、激素处理、机械破坏种壳等方式破除种子休眠。黄精种子萌发以后，主根伸出并在基部形成小根茎，积累由种子转移出来的营养物质，然后在小根茎上长出数条不定根并形成新芽，黄精属多数物种随即又进入芽休眠状态，翌年才能出土，而大叶滇黄精</w:t>
      </w:r>
      <w:r>
        <w:rPr>
          <w:rFonts w:ascii="Times New Roman" w:hAnsi="Times New Roman" w:eastAsia="宋体" w:cs="Times New Roman"/>
          <w:color w:val="000000"/>
          <w:sz w:val="24"/>
          <w:szCs w:val="21"/>
        </w:rPr>
        <w:t>25</w:t>
      </w:r>
      <w:r>
        <w:rPr>
          <w:rFonts w:hint="eastAsia" w:ascii="Times New Roman" w:hAnsi="Times New Roman" w:eastAsia="宋体" w:cs="Times New Roman"/>
          <w:color w:val="000000"/>
          <w:sz w:val="24"/>
          <w:szCs w:val="21"/>
        </w:rPr>
        <w:t>℃</w:t>
      </w:r>
      <w:r>
        <w:rPr>
          <w:rFonts w:ascii="Times New Roman" w:hAnsi="Times New Roman" w:eastAsia="宋体" w:cs="Times New Roman"/>
          <w:color w:val="000000"/>
          <w:sz w:val="24"/>
          <w:szCs w:val="21"/>
        </w:rPr>
        <w:t xml:space="preserve"> 60~90</w:t>
      </w:r>
      <w:r>
        <w:rPr>
          <w:rFonts w:hint="eastAsia" w:ascii="Times New Roman" w:hAnsi="Times New Roman" w:eastAsia="宋体" w:cs="Times New Roman"/>
          <w:color w:val="000000"/>
          <w:sz w:val="24"/>
          <w:szCs w:val="21"/>
        </w:rPr>
        <w:t>天打破休眠，萌芽后立即出土，形成新苗。</w:t>
      </w:r>
    </w:p>
    <w:p w14:paraId="4BBA0E68">
      <w:pPr>
        <w:spacing w:line="360" w:lineRule="auto"/>
        <w:ind w:firstLine="480" w:firstLineChars="200"/>
        <w:rPr>
          <w:rFonts w:ascii="Times New Roman" w:hAnsi="Times New Roman" w:eastAsia="宋体" w:cs="Times New Roman"/>
          <w:color w:val="000000"/>
          <w:sz w:val="24"/>
          <w:szCs w:val="21"/>
        </w:rPr>
      </w:pPr>
      <w:r>
        <w:rPr>
          <w:rFonts w:hint="eastAsia" w:ascii="Times New Roman" w:hAnsi="Times New Roman" w:eastAsia="宋体" w:cs="Times New Roman"/>
          <w:sz w:val="24"/>
          <w:szCs w:val="21"/>
        </w:rPr>
        <w:t>黄精属植物通常</w:t>
      </w:r>
      <w:r>
        <w:rPr>
          <w:rFonts w:ascii="Times New Roman" w:hAnsi="Times New Roman" w:eastAsia="宋体" w:cs="Times New Roman"/>
          <w:sz w:val="24"/>
          <w:szCs w:val="21"/>
        </w:rPr>
        <w:t>3</w:t>
      </w:r>
      <w:r>
        <w:rPr>
          <w:rFonts w:hint="eastAsia" w:ascii="Times New Roman" w:hAnsi="Times New Roman" w:eastAsia="宋体" w:cs="Times New Roman"/>
          <w:sz w:val="24"/>
          <w:szCs w:val="21"/>
        </w:rPr>
        <w:t>月至</w:t>
      </w:r>
      <w:r>
        <w:rPr>
          <w:rFonts w:ascii="Times New Roman" w:hAnsi="Times New Roman" w:eastAsia="宋体" w:cs="Times New Roman"/>
          <w:sz w:val="24"/>
          <w:szCs w:val="21"/>
        </w:rPr>
        <w:t>4</w:t>
      </w:r>
      <w:r>
        <w:rPr>
          <w:rFonts w:hint="eastAsia" w:ascii="Times New Roman" w:hAnsi="Times New Roman" w:eastAsia="宋体" w:cs="Times New Roman"/>
          <w:sz w:val="24"/>
          <w:szCs w:val="21"/>
        </w:rPr>
        <w:t>月根茎发芽形成新杆，到</w:t>
      </w:r>
      <w:r>
        <w:rPr>
          <w:rFonts w:ascii="Times New Roman" w:hAnsi="Times New Roman" w:eastAsia="宋体" w:cs="Times New Roman"/>
          <w:sz w:val="24"/>
          <w:szCs w:val="21"/>
        </w:rPr>
        <w:t>9</w:t>
      </w:r>
      <w:r>
        <w:rPr>
          <w:rFonts w:hint="eastAsia" w:ascii="Times New Roman" w:hAnsi="Times New Roman" w:eastAsia="宋体" w:cs="Times New Roman"/>
          <w:sz w:val="24"/>
          <w:szCs w:val="21"/>
        </w:rPr>
        <w:t>月地上茎杆枯死，而大叶滇黄精俗称不倒苗黄精，是至今发现唯一四季常绿的黄精。但并非真正的不倒苗，而是它一年发芽两次以上，春天与其它黄精一样，发芽、形成新杆，到</w:t>
      </w:r>
      <w:r>
        <w:rPr>
          <w:rFonts w:ascii="Times New Roman" w:hAnsi="Times New Roman" w:eastAsia="宋体" w:cs="Times New Roman"/>
          <w:sz w:val="24"/>
          <w:szCs w:val="21"/>
        </w:rPr>
        <w:t>9</w:t>
      </w:r>
      <w:r>
        <w:rPr>
          <w:rFonts w:hint="eastAsia" w:ascii="Times New Roman" w:hAnsi="Times New Roman" w:eastAsia="宋体" w:cs="Times New Roman"/>
          <w:sz w:val="24"/>
          <w:szCs w:val="21"/>
        </w:rPr>
        <w:t>月</w:t>
      </w:r>
      <w:r>
        <w:rPr>
          <w:rFonts w:ascii="Times New Roman" w:hAnsi="Times New Roman" w:eastAsia="宋体" w:cs="Times New Roman"/>
          <w:sz w:val="24"/>
          <w:szCs w:val="21"/>
        </w:rPr>
        <w:t>~11</w:t>
      </w:r>
      <w:r>
        <w:rPr>
          <w:rFonts w:hint="eastAsia" w:ascii="Times New Roman" w:hAnsi="Times New Roman" w:eastAsia="宋体" w:cs="Times New Roman"/>
          <w:sz w:val="24"/>
          <w:szCs w:val="21"/>
        </w:rPr>
        <w:t>月茎杆枯死，但其春天萌发茎杆枯死前根茎至少（多数在</w:t>
      </w:r>
      <w:r>
        <w:rPr>
          <w:rFonts w:ascii="Times New Roman" w:hAnsi="Times New Roman" w:eastAsia="宋体" w:cs="Times New Roman"/>
          <w:sz w:val="24"/>
          <w:szCs w:val="21"/>
        </w:rPr>
        <w:t>8</w:t>
      </w:r>
      <w:r>
        <w:rPr>
          <w:rFonts w:hint="eastAsia" w:ascii="Times New Roman" w:hAnsi="Times New Roman" w:eastAsia="宋体" w:cs="Times New Roman"/>
          <w:sz w:val="24"/>
          <w:szCs w:val="21"/>
        </w:rPr>
        <w:t>月</w:t>
      </w:r>
      <w:r>
        <w:rPr>
          <w:rFonts w:ascii="Times New Roman" w:hAnsi="Times New Roman" w:eastAsia="宋体" w:cs="Times New Roman"/>
          <w:sz w:val="24"/>
          <w:szCs w:val="21"/>
        </w:rPr>
        <w:t>~10</w:t>
      </w:r>
      <w:r>
        <w:rPr>
          <w:rFonts w:hint="eastAsia" w:ascii="Times New Roman" w:hAnsi="Times New Roman" w:eastAsia="宋体" w:cs="Times New Roman"/>
          <w:sz w:val="24"/>
          <w:szCs w:val="21"/>
        </w:rPr>
        <w:t>月）能再次萌发新芽，并在翌年新芽萌发后才会枯死，周而复始，始终保持常绿状态，给人不倒杆的误觉。每次发芽后均能正常开花，但仅春季开花能正常结果，</w:t>
      </w:r>
      <w:r>
        <w:rPr>
          <w:rFonts w:ascii="Times New Roman" w:hAnsi="Times New Roman" w:eastAsia="宋体" w:cs="Times New Roman"/>
          <w:sz w:val="24"/>
          <w:szCs w:val="21"/>
        </w:rPr>
        <w:t>11</w:t>
      </w:r>
      <w:r>
        <w:rPr>
          <w:rFonts w:hint="eastAsia" w:ascii="Times New Roman" w:hAnsi="Times New Roman" w:eastAsia="宋体" w:cs="Times New Roman"/>
          <w:sz w:val="24"/>
          <w:szCs w:val="21"/>
        </w:rPr>
        <w:t>月果熟。大叶滇黄精四季常绿，使其比其它黄精增加大量的光合作用时间，从而获得更高的生物量。</w:t>
      </w:r>
    </w:p>
    <w:p w14:paraId="2E7E2B6D">
      <w:pPr>
        <w:spacing w:line="360" w:lineRule="auto"/>
        <w:ind w:firstLine="480" w:firstLineChars="200"/>
        <w:rPr>
          <w:rFonts w:ascii="Times New Roman" w:hAnsi="Times New Roman" w:eastAsia="宋体" w:cs="Times New Roman"/>
          <w:sz w:val="24"/>
          <w:szCs w:val="21"/>
        </w:rPr>
      </w:pPr>
      <w:r>
        <w:rPr>
          <w:rFonts w:ascii="Times New Roman" w:hAnsi="Times New Roman" w:eastAsia="宋体" w:cs="Times New Roman"/>
          <w:sz w:val="24"/>
          <w:szCs w:val="21"/>
        </w:rPr>
        <w:t>Baker</w:t>
      </w:r>
      <w:r>
        <w:rPr>
          <w:rFonts w:hint="eastAsia" w:ascii="Times New Roman" w:hAnsi="Times New Roman" w:eastAsia="宋体" w:cs="Times New Roman"/>
          <w:sz w:val="24"/>
          <w:szCs w:val="21"/>
        </w:rPr>
        <w:t>（</w:t>
      </w:r>
      <w:r>
        <w:rPr>
          <w:rFonts w:ascii="Times New Roman" w:hAnsi="Times New Roman" w:eastAsia="宋体" w:cs="Times New Roman"/>
          <w:sz w:val="24"/>
          <w:szCs w:val="21"/>
        </w:rPr>
        <w:t>1875</w:t>
      </w:r>
      <w:r>
        <w:rPr>
          <w:rFonts w:hint="eastAsia" w:ascii="Times New Roman" w:hAnsi="Times New Roman" w:eastAsia="宋体" w:cs="Times New Roman"/>
          <w:sz w:val="24"/>
          <w:szCs w:val="21"/>
        </w:rPr>
        <w:t>年）将黄精属分为三个类群（即互生叶类</w:t>
      </w:r>
      <w:r>
        <w:rPr>
          <w:rFonts w:ascii="Times New Roman" w:hAnsi="Times New Roman" w:eastAsia="宋体" w:cs="Times New Roman"/>
          <w:sz w:val="24"/>
          <w:szCs w:val="21"/>
        </w:rPr>
        <w:t>Alternitolia</w:t>
      </w:r>
      <w:r>
        <w:rPr>
          <w:rFonts w:hint="eastAsia" w:ascii="Times New Roman" w:hAnsi="Times New Roman" w:eastAsia="宋体" w:cs="Times New Roman"/>
          <w:sz w:val="24"/>
          <w:szCs w:val="21"/>
        </w:rPr>
        <w:t>，轮生叶类</w:t>
      </w:r>
      <w:r>
        <w:rPr>
          <w:rFonts w:ascii="Times New Roman" w:hAnsi="Times New Roman" w:eastAsia="宋体" w:cs="Times New Roman"/>
          <w:sz w:val="24"/>
          <w:szCs w:val="21"/>
        </w:rPr>
        <w:t>Verticillata</w:t>
      </w:r>
      <w:r>
        <w:rPr>
          <w:rFonts w:hint="eastAsia" w:ascii="Times New Roman" w:hAnsi="Times New Roman" w:eastAsia="宋体" w:cs="Times New Roman"/>
          <w:sz w:val="24"/>
          <w:szCs w:val="21"/>
        </w:rPr>
        <w:t>，对生叶类</w:t>
      </w:r>
      <w:r>
        <w:rPr>
          <w:rFonts w:ascii="Times New Roman" w:hAnsi="Times New Roman" w:eastAsia="宋体" w:cs="Times New Roman"/>
          <w:sz w:val="24"/>
          <w:szCs w:val="21"/>
        </w:rPr>
        <w:t>Oppositifolia</w:t>
      </w:r>
      <w:r>
        <w:rPr>
          <w:rFonts w:hint="eastAsia" w:ascii="Times New Roman" w:hAnsi="Times New Roman" w:eastAsia="宋体" w:cs="Times New Roman"/>
          <w:sz w:val="24"/>
          <w:szCs w:val="21"/>
        </w:rPr>
        <w:t>），但大叶滇黄精发育过程的叶序和叶形变化特别大，最初的幼苗仅具有</w:t>
      </w:r>
      <w:r>
        <w:rPr>
          <w:rFonts w:ascii="Times New Roman" w:hAnsi="Times New Roman" w:eastAsia="宋体" w:cs="Times New Roman"/>
          <w:sz w:val="24"/>
          <w:szCs w:val="21"/>
        </w:rPr>
        <w:t>1</w:t>
      </w:r>
      <w:r>
        <w:rPr>
          <w:rFonts w:hint="eastAsia" w:ascii="Times New Roman" w:hAnsi="Times New Roman" w:eastAsia="宋体" w:cs="Times New Roman"/>
          <w:sz w:val="24"/>
          <w:szCs w:val="21"/>
        </w:rPr>
        <w:t>枚椭圆形的叶片（长</w:t>
      </w:r>
      <w:r>
        <w:rPr>
          <w:rFonts w:ascii="Times New Roman" w:hAnsi="Times New Roman" w:eastAsia="宋体" w:cs="Times New Roman"/>
          <w:sz w:val="24"/>
          <w:szCs w:val="21"/>
        </w:rPr>
        <w:t>4~8 cm</w:t>
      </w:r>
      <w:r>
        <w:rPr>
          <w:rFonts w:hint="eastAsia" w:ascii="Times New Roman" w:hAnsi="Times New Roman" w:eastAsia="宋体" w:cs="Times New Roman"/>
          <w:sz w:val="24"/>
          <w:szCs w:val="21"/>
        </w:rPr>
        <w:t>，宽</w:t>
      </w:r>
      <w:r>
        <w:rPr>
          <w:rFonts w:ascii="Times New Roman" w:hAnsi="Times New Roman" w:eastAsia="宋体" w:cs="Times New Roman"/>
          <w:sz w:val="24"/>
          <w:szCs w:val="21"/>
        </w:rPr>
        <w:t>2-3 cm</w:t>
      </w:r>
      <w:r>
        <w:rPr>
          <w:rFonts w:hint="eastAsia" w:ascii="Times New Roman" w:hAnsi="Times New Roman" w:eastAsia="宋体" w:cs="Times New Roman"/>
          <w:sz w:val="24"/>
          <w:szCs w:val="21"/>
        </w:rPr>
        <w:t>），后来形成互生披针形、对生披针形，长成的植株其叶可全部为互生或兼有对生，也可以极大多数为多叶轮生或近轮生，每轮</w:t>
      </w:r>
      <w:r>
        <w:rPr>
          <w:rFonts w:ascii="Times New Roman" w:hAnsi="Times New Roman" w:eastAsia="宋体" w:cs="Times New Roman"/>
          <w:sz w:val="24"/>
          <w:szCs w:val="21"/>
        </w:rPr>
        <w:t>3~6</w:t>
      </w:r>
      <w:r>
        <w:rPr>
          <w:rFonts w:hint="eastAsia" w:ascii="Times New Roman" w:hAnsi="Times New Roman" w:eastAsia="宋体" w:cs="Times New Roman"/>
          <w:sz w:val="24"/>
          <w:szCs w:val="21"/>
        </w:rPr>
        <w:t>枚，栽培环境下可达</w:t>
      </w:r>
      <w:r>
        <w:rPr>
          <w:rFonts w:ascii="Times New Roman" w:hAnsi="Times New Roman" w:eastAsia="宋体" w:cs="Times New Roman"/>
          <w:sz w:val="24"/>
          <w:szCs w:val="21"/>
        </w:rPr>
        <w:t>10</w:t>
      </w:r>
      <w:r>
        <w:rPr>
          <w:rFonts w:hint="eastAsia" w:ascii="Times New Roman" w:hAnsi="Times New Roman" w:eastAsia="宋体" w:cs="Times New Roman"/>
          <w:sz w:val="24"/>
          <w:szCs w:val="21"/>
        </w:rPr>
        <w:t>枚，而上部和下部的叶片通常互生、对生或近对生，条状披针形或披针形，长</w:t>
      </w:r>
      <w:r>
        <w:rPr>
          <w:rFonts w:ascii="Times New Roman" w:hAnsi="Times New Roman" w:eastAsia="宋体" w:cs="Times New Roman"/>
          <w:sz w:val="24"/>
          <w:szCs w:val="21"/>
        </w:rPr>
        <w:t>5.0~20.0(~27.0) cm</w:t>
      </w:r>
      <w:r>
        <w:rPr>
          <w:rFonts w:hint="eastAsia" w:ascii="Times New Roman" w:hAnsi="Times New Roman" w:eastAsia="宋体" w:cs="Times New Roman"/>
          <w:sz w:val="24"/>
          <w:szCs w:val="21"/>
        </w:rPr>
        <w:t>，宽</w:t>
      </w:r>
      <w:r>
        <w:rPr>
          <w:rFonts w:ascii="Times New Roman" w:hAnsi="Times New Roman" w:eastAsia="宋体" w:cs="Times New Roman"/>
          <w:sz w:val="24"/>
          <w:szCs w:val="21"/>
        </w:rPr>
        <w:t>5.0~25.0</w:t>
      </w:r>
      <w:r>
        <w:rPr>
          <w:rFonts w:hint="eastAsia" w:ascii="Times New Roman" w:hAnsi="Times New Roman" w:eastAsia="宋体" w:cs="Times New Roman"/>
          <w:sz w:val="24"/>
          <w:szCs w:val="21"/>
        </w:rPr>
        <w:t>（</w:t>
      </w:r>
      <w:r>
        <w:rPr>
          <w:rFonts w:ascii="Times New Roman" w:hAnsi="Times New Roman" w:eastAsia="宋体" w:cs="Times New Roman"/>
          <w:sz w:val="24"/>
          <w:szCs w:val="21"/>
        </w:rPr>
        <w:t>~32.0</w:t>
      </w:r>
      <w:r>
        <w:rPr>
          <w:rFonts w:hint="eastAsia" w:ascii="Times New Roman" w:hAnsi="Times New Roman" w:eastAsia="宋体" w:cs="Times New Roman"/>
          <w:sz w:val="24"/>
          <w:szCs w:val="21"/>
        </w:rPr>
        <w:t>）</w:t>
      </w:r>
      <w:r>
        <w:rPr>
          <w:rFonts w:ascii="Times New Roman" w:hAnsi="Times New Roman" w:eastAsia="宋体" w:cs="Times New Roman"/>
          <w:sz w:val="24"/>
          <w:szCs w:val="21"/>
        </w:rPr>
        <w:t>mm</w:t>
      </w:r>
      <w:r>
        <w:rPr>
          <w:rFonts w:hint="eastAsia" w:ascii="Times New Roman" w:hAnsi="Times New Roman" w:eastAsia="宋体" w:cs="Times New Roman"/>
          <w:sz w:val="24"/>
          <w:szCs w:val="21"/>
        </w:rPr>
        <w:t>，先端通常强烈卷曲（图</w:t>
      </w:r>
      <w:r>
        <w:rPr>
          <w:rFonts w:ascii="Times New Roman" w:hAnsi="Times New Roman" w:eastAsia="宋体" w:cs="Times New Roman"/>
          <w:sz w:val="24"/>
          <w:szCs w:val="21"/>
        </w:rPr>
        <w:t>5.5</w:t>
      </w:r>
      <w:r>
        <w:rPr>
          <w:rFonts w:hint="eastAsia" w:ascii="Times New Roman" w:hAnsi="Times New Roman" w:eastAsia="宋体" w:cs="Times New Roman"/>
          <w:sz w:val="24"/>
          <w:szCs w:val="21"/>
        </w:rPr>
        <w:t>）。从上述大叶滇黄精性状表明，黄精属划分为三个类群显然是不很合适的。</w:t>
      </w:r>
    </w:p>
    <w:p w14:paraId="326012F5">
      <w:pPr>
        <w:spacing w:line="360" w:lineRule="auto"/>
        <w:jc w:val="center"/>
        <w:rPr>
          <w:rFonts w:ascii="Times New Roman" w:hAnsi="Times New Roman" w:eastAsia="宋体" w:cs="Times New Roman"/>
          <w:sz w:val="24"/>
          <w:szCs w:val="21"/>
        </w:rPr>
      </w:pPr>
      <w:r>
        <w:rPr>
          <w:rFonts w:ascii="Times New Roman" w:hAnsi="Times New Roman" w:eastAsia="宋体" w:cs="Times New Roman"/>
          <w:sz w:val="24"/>
          <w:szCs w:val="21"/>
        </w:rPr>
        <w:drawing>
          <wp:inline distT="0" distB="0" distL="0" distR="0">
            <wp:extent cx="5274310" cy="1950085"/>
            <wp:effectExtent l="0" t="0" r="2540" b="0"/>
            <wp:docPr id="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5274310" cy="1950085"/>
                    </a:xfrm>
                    <a:prstGeom prst="rect">
                      <a:avLst/>
                    </a:prstGeom>
                    <a:noFill/>
                    <a:ln>
                      <a:noFill/>
                    </a:ln>
                  </pic:spPr>
                </pic:pic>
              </a:graphicData>
            </a:graphic>
          </wp:inline>
        </w:drawing>
      </w:r>
    </w:p>
    <w:p w14:paraId="54EE8D5A">
      <w:pPr>
        <w:spacing w:line="360" w:lineRule="auto"/>
        <w:ind w:firstLine="480"/>
        <w:jc w:val="center"/>
        <w:rPr>
          <w:rFonts w:ascii="Times New Roman" w:hAnsi="Times New Roman" w:eastAsia="宋体" w:cs="Times New Roman"/>
          <w:sz w:val="24"/>
          <w:szCs w:val="21"/>
        </w:rPr>
      </w:pPr>
      <w:r>
        <w:rPr>
          <w:rFonts w:ascii="Times New Roman" w:hAnsi="Times New Roman" w:eastAsia="宋体" w:cs="Times New Roman"/>
          <w:sz w:val="24"/>
          <w:szCs w:val="21"/>
        </w:rPr>
        <w:t>图5.5 野生大叶滇黄精叶序生长多态性</w:t>
      </w:r>
    </w:p>
    <w:p w14:paraId="598243F6">
      <w:p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此外，在自然生长群体中，还发现两个生物特性差异明显的群体，一个植株较矮，植株高度</w:t>
      </w:r>
      <w:r>
        <w:rPr>
          <w:rFonts w:ascii="Times New Roman" w:hAnsi="Times New Roman" w:eastAsia="宋体" w:cs="Times New Roman"/>
          <w:sz w:val="24"/>
          <w:szCs w:val="21"/>
        </w:rPr>
        <w:t>1 m</w:t>
      </w:r>
      <w:r>
        <w:rPr>
          <w:rFonts w:hint="eastAsia" w:ascii="Times New Roman" w:hAnsi="Times New Roman" w:eastAsia="宋体" w:cs="Times New Roman"/>
          <w:sz w:val="24"/>
          <w:szCs w:val="21"/>
        </w:rPr>
        <w:t>以下，叶多为互生或兼有对生，根茎较细；另一个植株高度</w:t>
      </w:r>
      <w:r>
        <w:rPr>
          <w:rFonts w:ascii="Times New Roman" w:hAnsi="Times New Roman" w:eastAsia="宋体" w:cs="Times New Roman"/>
          <w:sz w:val="24"/>
          <w:szCs w:val="21"/>
        </w:rPr>
        <w:t>1 m</w:t>
      </w:r>
      <w:r>
        <w:rPr>
          <w:rFonts w:hint="eastAsia" w:ascii="Times New Roman" w:hAnsi="Times New Roman" w:eastAsia="宋体" w:cs="Times New Roman"/>
          <w:sz w:val="24"/>
          <w:szCs w:val="21"/>
        </w:rPr>
        <w:t>以上，高的可超过</w:t>
      </w:r>
      <w:r>
        <w:rPr>
          <w:rFonts w:ascii="Times New Roman" w:hAnsi="Times New Roman" w:eastAsia="宋体" w:cs="Times New Roman"/>
          <w:sz w:val="24"/>
          <w:szCs w:val="21"/>
        </w:rPr>
        <w:t>3.5 m</w:t>
      </w:r>
      <w:r>
        <w:rPr>
          <w:rFonts w:hint="eastAsia" w:ascii="Times New Roman" w:hAnsi="Times New Roman" w:eastAsia="宋体" w:cs="Times New Roman"/>
          <w:sz w:val="24"/>
          <w:szCs w:val="21"/>
        </w:rPr>
        <w:t>，叶片极大多数为多叶轮生，根茎明显粗大，对光适应性更强，露地栽培能够正常生长。经流式细胞仪分析，两者的倍性存在明显差异，参照二倍体多花黄精，前者可能是二倍体，后者为多倍体或异倍体（图</w:t>
      </w:r>
      <w:r>
        <w:rPr>
          <w:rFonts w:ascii="Times New Roman" w:hAnsi="Times New Roman" w:eastAsia="宋体" w:cs="Times New Roman"/>
          <w:sz w:val="24"/>
          <w:szCs w:val="21"/>
        </w:rPr>
        <w:t>5.6</w:t>
      </w:r>
      <w:r>
        <w:rPr>
          <w:rFonts w:hint="eastAsia" w:ascii="Times New Roman" w:hAnsi="Times New Roman" w:eastAsia="宋体" w:cs="Times New Roman"/>
          <w:sz w:val="24"/>
          <w:szCs w:val="21"/>
        </w:rPr>
        <w:t>）。</w:t>
      </w:r>
    </w:p>
    <w:p w14:paraId="2862A477">
      <w:pPr>
        <w:spacing w:line="360" w:lineRule="auto"/>
        <w:ind w:firstLine="480"/>
        <w:jc w:val="center"/>
        <w:rPr>
          <w:rFonts w:ascii="Times New Roman" w:hAnsi="Times New Roman" w:eastAsia="宋体" w:cs="Times New Roman"/>
          <w:sz w:val="24"/>
          <w:szCs w:val="21"/>
        </w:rPr>
      </w:pPr>
      <w:r>
        <w:rPr>
          <w:rFonts w:ascii="Times New Roman" w:hAnsi="Times New Roman" w:eastAsia="宋体" w:cs="Times New Roman"/>
          <w:sz w:val="24"/>
          <w:szCs w:val="21"/>
        </w:rPr>
        <w:drawing>
          <wp:inline distT="0" distB="0" distL="0" distR="0">
            <wp:extent cx="5273040" cy="3949065"/>
            <wp:effectExtent l="0" t="0" r="3810" b="0"/>
            <wp:docPr id="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5273040" cy="3949065"/>
                    </a:xfrm>
                    <a:prstGeom prst="rect">
                      <a:avLst/>
                    </a:prstGeom>
                    <a:noFill/>
                    <a:ln>
                      <a:noFill/>
                    </a:ln>
                  </pic:spPr>
                </pic:pic>
              </a:graphicData>
            </a:graphic>
          </wp:inline>
        </w:drawing>
      </w:r>
    </w:p>
    <w:p w14:paraId="302455C3">
      <w:pPr>
        <w:spacing w:line="360" w:lineRule="auto"/>
        <w:jc w:val="center"/>
        <w:rPr>
          <w:rFonts w:ascii="Times New Roman" w:hAnsi="Times New Roman" w:eastAsia="宋体" w:cs="Times New Roman"/>
          <w:sz w:val="24"/>
          <w:szCs w:val="21"/>
        </w:rPr>
      </w:pPr>
      <w:r>
        <w:rPr>
          <w:rFonts w:ascii="Times New Roman" w:hAnsi="Times New Roman" w:eastAsia="宋体" w:cs="Times New Roman"/>
          <w:sz w:val="24"/>
          <w:szCs w:val="21"/>
        </w:rPr>
        <w:t xml:space="preserve">A </w:t>
      </w:r>
      <w:r>
        <w:rPr>
          <w:rFonts w:hint="eastAsia" w:ascii="Times New Roman" w:hAnsi="Times New Roman" w:eastAsia="宋体" w:cs="Times New Roman"/>
          <w:sz w:val="24"/>
          <w:szCs w:val="21"/>
        </w:rPr>
        <w:t>多花黄精</w:t>
      </w:r>
      <w:r>
        <w:rPr>
          <w:rFonts w:ascii="Times New Roman" w:hAnsi="Times New Roman" w:eastAsia="宋体" w:cs="Times New Roman"/>
          <w:sz w:val="24"/>
          <w:szCs w:val="21"/>
        </w:rPr>
        <w:t>(2n)</w:t>
      </w:r>
      <w:r>
        <w:rPr>
          <w:rFonts w:hint="eastAsia" w:ascii="Times New Roman" w:hAnsi="Times New Roman" w:eastAsia="宋体" w:cs="Times New Roman"/>
          <w:sz w:val="24"/>
          <w:szCs w:val="21"/>
        </w:rPr>
        <w:t>；</w:t>
      </w:r>
      <w:r>
        <w:rPr>
          <w:rFonts w:ascii="Times New Roman" w:hAnsi="Times New Roman" w:eastAsia="宋体" w:cs="Times New Roman"/>
          <w:sz w:val="24"/>
          <w:szCs w:val="21"/>
        </w:rPr>
        <w:t xml:space="preserve">B </w:t>
      </w:r>
      <w:r>
        <w:rPr>
          <w:rFonts w:hint="eastAsia" w:ascii="Times New Roman" w:hAnsi="Times New Roman" w:eastAsia="宋体" w:cs="Times New Roman"/>
          <w:sz w:val="24"/>
          <w:szCs w:val="21"/>
        </w:rPr>
        <w:t>大叶滇黄精</w:t>
      </w:r>
      <w:r>
        <w:rPr>
          <w:rFonts w:ascii="Times New Roman" w:hAnsi="Times New Roman" w:eastAsia="宋体" w:cs="Times New Roman"/>
          <w:sz w:val="24"/>
          <w:szCs w:val="21"/>
        </w:rPr>
        <w:t>(2n)</w:t>
      </w:r>
      <w:r>
        <w:rPr>
          <w:rFonts w:hint="eastAsia" w:ascii="Times New Roman" w:hAnsi="Times New Roman" w:eastAsia="宋体" w:cs="Times New Roman"/>
          <w:sz w:val="24"/>
          <w:szCs w:val="21"/>
        </w:rPr>
        <w:t>；</w:t>
      </w:r>
      <w:r>
        <w:rPr>
          <w:rFonts w:ascii="Times New Roman" w:hAnsi="Times New Roman" w:eastAsia="宋体" w:cs="Times New Roman"/>
          <w:sz w:val="24"/>
          <w:szCs w:val="21"/>
        </w:rPr>
        <w:t xml:space="preserve">C </w:t>
      </w:r>
      <w:r>
        <w:rPr>
          <w:rFonts w:hint="eastAsia" w:ascii="Times New Roman" w:hAnsi="Times New Roman" w:eastAsia="宋体" w:cs="Times New Roman"/>
          <w:sz w:val="24"/>
          <w:szCs w:val="21"/>
        </w:rPr>
        <w:t>大叶滇黄精</w:t>
      </w:r>
      <w:r>
        <w:rPr>
          <w:rFonts w:ascii="Times New Roman" w:hAnsi="Times New Roman" w:eastAsia="宋体" w:cs="Times New Roman"/>
          <w:sz w:val="24"/>
          <w:szCs w:val="21"/>
        </w:rPr>
        <w:t>(4n)</w:t>
      </w:r>
      <w:r>
        <w:rPr>
          <w:rFonts w:hint="eastAsia" w:ascii="Times New Roman" w:hAnsi="Times New Roman" w:eastAsia="宋体" w:cs="Times New Roman"/>
          <w:sz w:val="24"/>
          <w:szCs w:val="21"/>
        </w:rPr>
        <w:t>；</w:t>
      </w:r>
      <w:r>
        <w:rPr>
          <w:rFonts w:ascii="Times New Roman" w:hAnsi="Times New Roman" w:eastAsia="宋体" w:cs="Times New Roman"/>
          <w:sz w:val="24"/>
          <w:szCs w:val="21"/>
        </w:rPr>
        <w:t>D</w:t>
      </w:r>
      <w:r>
        <w:rPr>
          <w:rFonts w:hint="eastAsia" w:ascii="Times New Roman" w:hAnsi="Times New Roman" w:eastAsia="宋体" w:cs="Times New Roman"/>
          <w:sz w:val="24"/>
          <w:szCs w:val="21"/>
        </w:rPr>
        <w:t>不同倍性大叶滇黄精根茎代表</w:t>
      </w:r>
    </w:p>
    <w:p w14:paraId="206C14AD">
      <w:pPr>
        <w:spacing w:line="360" w:lineRule="auto"/>
        <w:ind w:firstLine="480"/>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图</w:t>
      </w:r>
      <w:r>
        <w:rPr>
          <w:rFonts w:ascii="Times New Roman" w:hAnsi="Times New Roman" w:eastAsia="宋体" w:cs="Times New Roman"/>
          <w:sz w:val="24"/>
          <w:szCs w:val="21"/>
        </w:rPr>
        <w:t xml:space="preserve">5.8 </w:t>
      </w:r>
      <w:r>
        <w:rPr>
          <w:rFonts w:hint="eastAsia" w:ascii="Times New Roman" w:hAnsi="Times New Roman" w:eastAsia="宋体" w:cs="Times New Roman"/>
          <w:sz w:val="24"/>
          <w:szCs w:val="21"/>
        </w:rPr>
        <w:t>大叶滇黄精倍性测定分析</w:t>
      </w:r>
    </w:p>
    <w:p w14:paraId="59F6DD40">
      <w:pPr>
        <w:spacing w:line="360" w:lineRule="auto"/>
        <w:ind w:firstLine="480" w:firstLineChars="200"/>
        <w:jc w:val="left"/>
        <w:rPr>
          <w:rFonts w:ascii="Times New Roman" w:hAnsi="Times New Roman" w:eastAsia="宋体" w:cs="Times New Roman"/>
          <w:sz w:val="24"/>
          <w:szCs w:val="21"/>
        </w:rPr>
      </w:pPr>
      <w:r>
        <w:rPr>
          <w:rFonts w:ascii="Times New Roman" w:hAnsi="Times New Roman" w:eastAsia="宋体" w:cs="Times New Roman"/>
          <w:sz w:val="24"/>
          <w:szCs w:val="21"/>
        </w:rPr>
        <w:t>3. 自然分布与人工栽培</w:t>
      </w:r>
    </w:p>
    <w:p w14:paraId="5DBB7AB3">
      <w:p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《四川植物志》和相关文献报道，大叶滇黄精自然分布于四川彭县、大邑、邛崃、峨眉、都江堰、名山、雅安，重庆巫山、秀山、南川等海拔</w:t>
      </w:r>
      <w:r>
        <w:rPr>
          <w:rFonts w:ascii="Times New Roman" w:hAnsi="Times New Roman" w:eastAsia="宋体" w:cs="Times New Roman"/>
          <w:sz w:val="24"/>
          <w:szCs w:val="21"/>
        </w:rPr>
        <w:t>600~1200 m</w:t>
      </w:r>
      <w:r>
        <w:rPr>
          <w:rFonts w:hint="eastAsia" w:ascii="Times New Roman" w:hAnsi="Times New Roman" w:eastAsia="宋体" w:cs="Times New Roman"/>
          <w:sz w:val="24"/>
          <w:szCs w:val="21"/>
        </w:rPr>
        <w:t>的林缘、林下或灌丛中。资源实地调查发现湖北恩施、宣恩、长阳，贵州梓桐，四川筠连、南充，湖南古丈、永顺、保靖等海拔</w:t>
      </w:r>
      <w:r>
        <w:rPr>
          <w:rFonts w:ascii="Times New Roman" w:hAnsi="Times New Roman" w:eastAsia="宋体" w:cs="Times New Roman"/>
          <w:sz w:val="24"/>
          <w:szCs w:val="21"/>
        </w:rPr>
        <w:t>600~1200 m</w:t>
      </w:r>
      <w:r>
        <w:rPr>
          <w:rFonts w:hint="eastAsia" w:ascii="Times New Roman" w:hAnsi="Times New Roman" w:eastAsia="宋体" w:cs="Times New Roman"/>
          <w:sz w:val="24"/>
          <w:szCs w:val="21"/>
        </w:rPr>
        <w:t>四川盆地向云贵高原过渡带均有自然分布（图</w:t>
      </w:r>
      <w:r>
        <w:rPr>
          <w:rFonts w:ascii="Times New Roman" w:hAnsi="Times New Roman" w:eastAsia="宋体" w:cs="Times New Roman"/>
          <w:sz w:val="24"/>
          <w:szCs w:val="21"/>
        </w:rPr>
        <w:t>5.9</w:t>
      </w:r>
      <w:r>
        <w:rPr>
          <w:rFonts w:hint="eastAsia" w:ascii="Times New Roman" w:hAnsi="Times New Roman" w:eastAsia="宋体" w:cs="Times New Roman"/>
          <w:sz w:val="24"/>
          <w:szCs w:val="21"/>
        </w:rPr>
        <w:t>）。</w:t>
      </w:r>
    </w:p>
    <w:p w14:paraId="005C84B6">
      <w:pPr>
        <w:spacing w:line="360" w:lineRule="auto"/>
        <w:ind w:firstLine="480"/>
        <w:jc w:val="center"/>
        <w:rPr>
          <w:rFonts w:ascii="Times New Roman" w:hAnsi="Times New Roman" w:eastAsia="宋体" w:cs="Times New Roman"/>
          <w:sz w:val="24"/>
          <w:szCs w:val="21"/>
        </w:rPr>
      </w:pPr>
      <w:r>
        <w:rPr>
          <w:rFonts w:ascii="Times New Roman" w:hAnsi="Times New Roman" w:eastAsia="宋体" w:cs="Times New Roman"/>
          <w:sz w:val="24"/>
          <w:szCs w:val="21"/>
        </w:rPr>
        <w:drawing>
          <wp:inline distT="0" distB="0" distL="0" distR="0">
            <wp:extent cx="3078480" cy="2017395"/>
            <wp:effectExtent l="0" t="0" r="7620" b="1905"/>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3083414" cy="2020857"/>
                    </a:xfrm>
                    <a:prstGeom prst="rect">
                      <a:avLst/>
                    </a:prstGeom>
                    <a:noFill/>
                    <a:ln>
                      <a:noFill/>
                    </a:ln>
                  </pic:spPr>
                </pic:pic>
              </a:graphicData>
            </a:graphic>
          </wp:inline>
        </w:drawing>
      </w:r>
    </w:p>
    <w:p w14:paraId="60D0CD17">
      <w:pPr>
        <w:spacing w:line="360" w:lineRule="auto"/>
        <w:ind w:firstLine="480"/>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图</w:t>
      </w:r>
      <w:r>
        <w:rPr>
          <w:rFonts w:ascii="Times New Roman" w:hAnsi="Times New Roman" w:eastAsia="宋体" w:cs="Times New Roman"/>
          <w:sz w:val="24"/>
          <w:szCs w:val="21"/>
        </w:rPr>
        <w:t xml:space="preserve">5.9 </w:t>
      </w:r>
      <w:r>
        <w:rPr>
          <w:rFonts w:hint="eastAsia" w:ascii="Times New Roman" w:hAnsi="Times New Roman" w:eastAsia="宋体" w:cs="Times New Roman"/>
          <w:sz w:val="24"/>
          <w:szCs w:val="21"/>
        </w:rPr>
        <w:t>大叶滇黄精自然分布图</w:t>
      </w:r>
    </w:p>
    <w:p w14:paraId="53A18383">
      <w:p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大叶滇黄精繁殖与其它黄精一样，可以通过种子繁殖、根茎繁殖和组织培养。种子繁殖苗圃地选择、播种、覆盖等技术与其它黄精类似，而管理技术存在明显区别，其它多数黄精种子萌发以后翌年才能出土，而大叶滇黄精萌芽后立即出土，可一年形成新苗，育苗周期比多花黄精至少短</w:t>
      </w:r>
      <w:r>
        <w:rPr>
          <w:rFonts w:ascii="Times New Roman" w:hAnsi="Times New Roman" w:eastAsia="宋体" w:cs="Times New Roman"/>
          <w:sz w:val="24"/>
          <w:szCs w:val="21"/>
        </w:rPr>
        <w:t>2</w:t>
      </w:r>
      <w:r>
        <w:rPr>
          <w:rFonts w:hint="eastAsia" w:ascii="Times New Roman" w:hAnsi="Times New Roman" w:eastAsia="宋体" w:cs="Times New Roman"/>
          <w:sz w:val="24"/>
          <w:szCs w:val="21"/>
        </w:rPr>
        <w:t>年。根茎繁殖技术与其它黄精相同。组培技术用根茎芽为外植体，先用</w:t>
      </w:r>
      <w:r>
        <w:rPr>
          <w:rFonts w:ascii="Times New Roman" w:hAnsi="Times New Roman" w:eastAsia="宋体" w:cs="Times New Roman"/>
          <w:sz w:val="24"/>
          <w:szCs w:val="21"/>
        </w:rPr>
        <w:t>0.5 g/L</w:t>
      </w:r>
      <w:r>
        <w:rPr>
          <w:rFonts w:hint="eastAsia" w:ascii="Times New Roman" w:hAnsi="Times New Roman" w:eastAsia="宋体" w:cs="Times New Roman"/>
          <w:sz w:val="24"/>
          <w:szCs w:val="21"/>
        </w:rPr>
        <w:t>的多菌灵溶液预处理</w:t>
      </w:r>
      <w:r>
        <w:rPr>
          <w:rFonts w:ascii="Times New Roman" w:hAnsi="Times New Roman" w:eastAsia="宋体" w:cs="Times New Roman"/>
          <w:sz w:val="24"/>
          <w:szCs w:val="21"/>
        </w:rPr>
        <w:t>12 h</w:t>
      </w:r>
      <w:r>
        <w:rPr>
          <w:rFonts w:hint="eastAsia" w:ascii="Times New Roman" w:hAnsi="Times New Roman" w:eastAsia="宋体" w:cs="Times New Roman"/>
          <w:sz w:val="24"/>
          <w:szCs w:val="21"/>
        </w:rPr>
        <w:t>消毒，再用</w:t>
      </w:r>
      <w:r>
        <w:rPr>
          <w:rFonts w:ascii="Times New Roman" w:hAnsi="Times New Roman" w:eastAsia="宋体" w:cs="Times New Roman"/>
          <w:sz w:val="24"/>
          <w:szCs w:val="21"/>
        </w:rPr>
        <w:t>0.2%HgCl</w:t>
      </w:r>
      <w:r>
        <w:rPr>
          <w:rFonts w:ascii="Times New Roman" w:hAnsi="Times New Roman" w:eastAsia="宋体" w:cs="Times New Roman"/>
          <w:sz w:val="24"/>
          <w:szCs w:val="21"/>
          <w:vertAlign w:val="subscript"/>
        </w:rPr>
        <w:t>2</w:t>
      </w:r>
      <w:r>
        <w:rPr>
          <w:rFonts w:hint="eastAsia" w:ascii="Times New Roman" w:hAnsi="Times New Roman" w:eastAsia="宋体" w:cs="Times New Roman"/>
          <w:sz w:val="24"/>
          <w:szCs w:val="21"/>
        </w:rPr>
        <w:t>灭菌</w:t>
      </w:r>
      <w:r>
        <w:rPr>
          <w:rFonts w:ascii="Times New Roman" w:hAnsi="Times New Roman" w:eastAsia="宋体" w:cs="Times New Roman"/>
          <w:sz w:val="24"/>
          <w:szCs w:val="21"/>
        </w:rPr>
        <w:t>6 min+6 min</w:t>
      </w:r>
      <w:r>
        <w:rPr>
          <w:rFonts w:hint="eastAsia" w:ascii="Times New Roman" w:hAnsi="Times New Roman" w:eastAsia="宋体" w:cs="Times New Roman"/>
          <w:sz w:val="24"/>
          <w:szCs w:val="21"/>
        </w:rPr>
        <w:t>，初代培养基为</w:t>
      </w:r>
      <w:r>
        <w:rPr>
          <w:rFonts w:ascii="Times New Roman" w:hAnsi="Times New Roman" w:eastAsia="宋体" w:cs="Times New Roman"/>
          <w:sz w:val="24"/>
          <w:szCs w:val="21"/>
        </w:rPr>
        <w:t>MS+6-BA0.5 mg/L+NAA0.5 mg/L</w:t>
      </w:r>
      <w:r>
        <w:rPr>
          <w:rFonts w:hint="eastAsia" w:ascii="Times New Roman" w:hAnsi="Times New Roman" w:eastAsia="宋体" w:cs="Times New Roman"/>
          <w:sz w:val="24"/>
          <w:szCs w:val="21"/>
        </w:rPr>
        <w:t>，不定芽分化培养基为</w:t>
      </w:r>
      <w:r>
        <w:rPr>
          <w:rFonts w:ascii="Times New Roman" w:hAnsi="Times New Roman" w:eastAsia="宋体" w:cs="Times New Roman"/>
          <w:sz w:val="24"/>
          <w:szCs w:val="21"/>
        </w:rPr>
        <w:t>MS+6-BA3.0 g/L+NAA0.2 mg/L</w:t>
      </w:r>
      <w:r>
        <w:rPr>
          <w:rFonts w:hint="eastAsia" w:ascii="Times New Roman" w:hAnsi="Times New Roman" w:eastAsia="宋体" w:cs="Times New Roman"/>
          <w:sz w:val="24"/>
          <w:szCs w:val="21"/>
        </w:rPr>
        <w:t>，壮苗培养基为</w:t>
      </w:r>
      <w:r>
        <w:rPr>
          <w:rFonts w:ascii="Times New Roman" w:hAnsi="Times New Roman" w:eastAsia="宋体" w:cs="Times New Roman"/>
          <w:sz w:val="24"/>
          <w:szCs w:val="21"/>
        </w:rPr>
        <w:t>MS + 6-BA1.5 mg/L + 2,4-D 0.5 mg/L+GA</w:t>
      </w:r>
      <w:r>
        <w:rPr>
          <w:rFonts w:ascii="Times New Roman" w:hAnsi="Times New Roman" w:eastAsia="宋体" w:cs="Times New Roman"/>
          <w:sz w:val="24"/>
          <w:szCs w:val="21"/>
          <w:vertAlign w:val="subscript"/>
        </w:rPr>
        <w:t>3</w:t>
      </w:r>
      <w:r>
        <w:rPr>
          <w:rFonts w:ascii="Times New Roman" w:hAnsi="Times New Roman" w:eastAsia="宋体" w:cs="Times New Roman"/>
          <w:sz w:val="24"/>
          <w:szCs w:val="21"/>
        </w:rPr>
        <w:t xml:space="preserve"> 0.5 mg/L</w:t>
      </w:r>
      <w:r>
        <w:rPr>
          <w:rFonts w:hint="eastAsia" w:ascii="Times New Roman" w:hAnsi="Times New Roman" w:eastAsia="宋体" w:cs="Times New Roman"/>
          <w:sz w:val="24"/>
          <w:szCs w:val="21"/>
        </w:rPr>
        <w:t>；生根培养基为</w:t>
      </w:r>
      <w:r>
        <w:rPr>
          <w:rFonts w:ascii="Times New Roman" w:hAnsi="Times New Roman" w:eastAsia="宋体" w:cs="Times New Roman"/>
          <w:sz w:val="24"/>
          <w:szCs w:val="21"/>
        </w:rPr>
        <w:t>1/2 MS + NAA1.0 mg/L + IBA0.2 mg/L +AC0.2 g/L</w:t>
      </w:r>
      <w:r>
        <w:rPr>
          <w:rFonts w:hint="eastAsia" w:ascii="Times New Roman" w:hAnsi="Times New Roman" w:eastAsia="宋体" w:cs="Times New Roman"/>
          <w:sz w:val="24"/>
          <w:szCs w:val="21"/>
        </w:rPr>
        <w:t>，不定芽诱导率、生根率分别可达</w:t>
      </w:r>
      <w:r>
        <w:rPr>
          <w:rFonts w:ascii="Times New Roman" w:hAnsi="Times New Roman" w:eastAsia="宋体" w:cs="Times New Roman"/>
          <w:sz w:val="24"/>
          <w:szCs w:val="21"/>
        </w:rPr>
        <w:t>4.33</w:t>
      </w:r>
      <w:r>
        <w:rPr>
          <w:rFonts w:hint="eastAsia" w:ascii="Times New Roman" w:hAnsi="Times New Roman" w:eastAsia="宋体" w:cs="Times New Roman"/>
          <w:sz w:val="24"/>
          <w:szCs w:val="21"/>
        </w:rPr>
        <w:t>倍和</w:t>
      </w:r>
      <w:r>
        <w:rPr>
          <w:rFonts w:ascii="Times New Roman" w:hAnsi="Times New Roman" w:eastAsia="宋体" w:cs="Times New Roman"/>
          <w:sz w:val="24"/>
          <w:szCs w:val="21"/>
        </w:rPr>
        <w:t>89%</w:t>
      </w:r>
      <w:r>
        <w:rPr>
          <w:rFonts w:hint="eastAsia" w:ascii="Times New Roman" w:hAnsi="Times New Roman" w:eastAsia="宋体" w:cs="Times New Roman"/>
          <w:sz w:val="24"/>
          <w:szCs w:val="21"/>
        </w:rPr>
        <w:t>。</w:t>
      </w:r>
    </w:p>
    <w:p w14:paraId="784907C7">
      <w:pPr>
        <w:spacing w:line="360" w:lineRule="auto"/>
        <w:ind w:firstLine="480" w:firstLineChars="200"/>
        <w:rPr>
          <w:rFonts w:ascii="Times New Roman" w:hAnsi="Times New Roman" w:eastAsia="宋体" w:cs="Times New Roman"/>
          <w:sz w:val="24"/>
          <w:szCs w:val="21"/>
        </w:rPr>
      </w:pPr>
      <w:r>
        <w:rPr>
          <w:rFonts w:ascii="Times New Roman" w:hAnsi="Times New Roman" w:eastAsia="宋体" w:cs="Times New Roman"/>
          <w:sz w:val="24"/>
          <w:szCs w:val="21"/>
        </w:rPr>
        <w:t>大叶滇黄精因其四季常绿、生物量大、口感佳、光响应范围广，是四川、重庆、湖北、贵州自然分布区的主栽品种，在各种郁闭度50%左右的用材林、经济林下大面积种植，在露地上也能良好生长（图5.8），高效种植第5年采收亩产可达5000 kg以上，在浙江农林大学种质量资源圃种植4年与多花黄精初步比较，产量增加1倍以上；适时采收其多糖、浸出物指标完全符合2020年版《中国药典》要求，目前产量约占全国总产量的25%左右。云南、江西、浙江、福建、安徽、山东、北京等地也广泛引种栽培，但山东、北京设施栽培才能安全越冬，其它亚热带地区海拔800 m以上也易发生冻害。</w:t>
      </w:r>
    </w:p>
    <w:p w14:paraId="44C767F0">
      <w:pPr>
        <w:spacing w:line="360" w:lineRule="auto"/>
        <w:jc w:val="center"/>
        <w:rPr>
          <w:rFonts w:ascii="Times New Roman" w:hAnsi="Times New Roman" w:eastAsia="宋体" w:cs="Times New Roman"/>
          <w:sz w:val="24"/>
          <w:szCs w:val="21"/>
        </w:rPr>
      </w:pPr>
      <w:r>
        <w:rPr>
          <w:rFonts w:ascii="Times New Roman" w:hAnsi="Times New Roman" w:eastAsia="宋体" w:cs="Times New Roman"/>
          <w:sz w:val="24"/>
          <w:szCs w:val="21"/>
        </w:rPr>
        <w:drawing>
          <wp:inline distT="0" distB="0" distL="0" distR="0">
            <wp:extent cx="5273040" cy="2557780"/>
            <wp:effectExtent l="0" t="0" r="3810" b="0"/>
            <wp:docPr id="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73040" cy="2557780"/>
                    </a:xfrm>
                    <a:prstGeom prst="rect">
                      <a:avLst/>
                    </a:prstGeom>
                    <a:noFill/>
                    <a:ln>
                      <a:noFill/>
                    </a:ln>
                  </pic:spPr>
                </pic:pic>
              </a:graphicData>
            </a:graphic>
          </wp:inline>
        </w:drawing>
      </w:r>
    </w:p>
    <w:p w14:paraId="3F6DF6AC">
      <w:pPr>
        <w:spacing w:line="360" w:lineRule="auto"/>
        <w:ind w:firstLine="480" w:firstLineChars="200"/>
        <w:jc w:val="center"/>
        <w:rPr>
          <w:rFonts w:ascii="Times New Roman" w:hAnsi="Times New Roman" w:eastAsia="宋体" w:cs="Times New Roman"/>
          <w:sz w:val="24"/>
          <w:szCs w:val="21"/>
        </w:rPr>
      </w:pPr>
      <w:r>
        <w:rPr>
          <w:rFonts w:ascii="Times New Roman" w:hAnsi="Times New Roman" w:eastAsia="宋体" w:cs="Times New Roman"/>
          <w:sz w:val="24"/>
          <w:szCs w:val="21"/>
        </w:rPr>
        <w:t xml:space="preserve">A </w:t>
      </w:r>
      <w:r>
        <w:rPr>
          <w:rFonts w:hint="eastAsia" w:ascii="Times New Roman" w:hAnsi="Times New Roman" w:eastAsia="宋体" w:cs="Times New Roman"/>
          <w:sz w:val="24"/>
          <w:szCs w:val="21"/>
        </w:rPr>
        <w:t>露地栽培；</w:t>
      </w:r>
      <w:r>
        <w:rPr>
          <w:rFonts w:ascii="Times New Roman" w:hAnsi="Times New Roman" w:eastAsia="宋体" w:cs="Times New Roman"/>
          <w:sz w:val="24"/>
          <w:szCs w:val="21"/>
        </w:rPr>
        <w:t xml:space="preserve">B </w:t>
      </w:r>
      <w:r>
        <w:rPr>
          <w:rFonts w:hint="eastAsia" w:ascii="Times New Roman" w:hAnsi="Times New Roman" w:eastAsia="宋体" w:cs="Times New Roman"/>
          <w:sz w:val="24"/>
          <w:szCs w:val="21"/>
        </w:rPr>
        <w:t>林下栽培</w:t>
      </w:r>
    </w:p>
    <w:p w14:paraId="12924D9F">
      <w:pPr>
        <w:spacing w:line="360" w:lineRule="auto"/>
        <w:ind w:firstLine="480" w:firstLineChars="200"/>
        <w:jc w:val="center"/>
        <w:rPr>
          <w:rFonts w:ascii="Times New Roman" w:hAnsi="Times New Roman" w:eastAsia="宋体" w:cs="Times New Roman"/>
          <w:sz w:val="24"/>
          <w:szCs w:val="21"/>
        </w:rPr>
      </w:pPr>
      <w:bookmarkStart w:id="5" w:name="_Hlk165641414"/>
      <w:r>
        <w:rPr>
          <w:rFonts w:hint="eastAsia" w:ascii="Times New Roman" w:hAnsi="Times New Roman" w:eastAsia="宋体" w:cs="Times New Roman"/>
          <w:sz w:val="24"/>
          <w:szCs w:val="21"/>
        </w:rPr>
        <w:t>图</w:t>
      </w:r>
      <w:r>
        <w:rPr>
          <w:rFonts w:ascii="Times New Roman" w:hAnsi="Times New Roman" w:eastAsia="宋体" w:cs="Times New Roman"/>
          <w:sz w:val="24"/>
          <w:szCs w:val="21"/>
        </w:rPr>
        <w:t xml:space="preserve">5.10 </w:t>
      </w:r>
      <w:r>
        <w:rPr>
          <w:rFonts w:hint="eastAsia" w:ascii="Times New Roman" w:hAnsi="Times New Roman" w:eastAsia="宋体" w:cs="Times New Roman"/>
          <w:sz w:val="24"/>
          <w:szCs w:val="21"/>
        </w:rPr>
        <w:t>大叶滇黄精栽培模式</w:t>
      </w:r>
    </w:p>
    <w:p w14:paraId="54C527A3">
      <w:pPr>
        <w:spacing w:line="360" w:lineRule="auto"/>
        <w:ind w:firstLine="480" w:firstLineChars="200"/>
        <w:rPr>
          <w:rFonts w:ascii="Times New Roman" w:hAnsi="Times New Roman" w:eastAsia="宋体" w:cs="Times New Roman"/>
          <w:bCs/>
          <w:sz w:val="24"/>
          <w:szCs w:val="24"/>
        </w:rPr>
      </w:pPr>
      <w:r>
        <w:rPr>
          <w:rFonts w:ascii="Times New Roman" w:hAnsi="Times New Roman" w:eastAsia="宋体" w:cs="Times New Roman"/>
          <w:bCs/>
          <w:sz w:val="24"/>
          <w:szCs w:val="24"/>
        </w:rPr>
        <w:t xml:space="preserve">7.2.2 </w:t>
      </w:r>
      <w:r>
        <w:rPr>
          <w:rFonts w:hint="eastAsia" w:ascii="Times New Roman" w:hAnsi="Times New Roman" w:eastAsia="宋体" w:cs="Times New Roman"/>
          <w:bCs/>
          <w:sz w:val="24"/>
          <w:szCs w:val="24"/>
        </w:rPr>
        <w:t>黄精本草考证</w:t>
      </w:r>
      <w:r>
        <w:rPr>
          <w:rFonts w:hint="eastAsia" w:ascii="Times New Roman" w:hAnsi="Times New Roman" w:eastAsia="宋体" w:cs="Times New Roman"/>
          <w:bCs/>
          <w:color w:val="FF0000"/>
          <w:sz w:val="24"/>
          <w:szCs w:val="24"/>
          <w:highlight w:val="yellow"/>
        </w:rPr>
        <w:t>（略，正式稿会直接补充）</w:t>
      </w:r>
    </w:p>
    <w:p w14:paraId="2BB42947">
      <w:pPr>
        <w:spacing w:line="360" w:lineRule="auto"/>
        <w:ind w:firstLine="480" w:firstLineChars="200"/>
        <w:rPr>
          <w:rFonts w:ascii="Times New Roman" w:hAnsi="Times New Roman" w:eastAsia="宋体" w:cs="Times New Roman"/>
          <w:sz w:val="24"/>
          <w:szCs w:val="21"/>
        </w:rPr>
      </w:pPr>
    </w:p>
    <w:bookmarkEnd w:id="5"/>
    <w:p w14:paraId="52664766">
      <w:pPr>
        <w:spacing w:line="360" w:lineRule="auto"/>
        <w:ind w:firstLine="480" w:firstLineChars="200"/>
        <w:rPr>
          <w:rFonts w:ascii="Times New Roman" w:hAnsi="Times New Roman" w:eastAsia="宋体" w:cs="Times New Roman"/>
          <w:bCs/>
          <w:sz w:val="24"/>
          <w:szCs w:val="24"/>
        </w:rPr>
      </w:pPr>
      <w:r>
        <w:rPr>
          <w:rFonts w:ascii="Times New Roman" w:hAnsi="Times New Roman" w:eastAsia="宋体" w:cs="Times New Roman"/>
          <w:bCs/>
          <w:sz w:val="24"/>
          <w:szCs w:val="24"/>
        </w:rPr>
        <w:t xml:space="preserve">7.2.3 </w:t>
      </w:r>
      <w:r>
        <w:rPr>
          <w:rFonts w:hint="eastAsia" w:ascii="Times New Roman" w:hAnsi="Times New Roman" w:eastAsia="宋体" w:cs="Times New Roman"/>
          <w:bCs/>
          <w:sz w:val="24"/>
          <w:szCs w:val="24"/>
        </w:rPr>
        <w:t>结论</w:t>
      </w:r>
    </w:p>
    <w:p w14:paraId="6B972F35">
      <w:pPr>
        <w:spacing w:line="360" w:lineRule="auto"/>
        <w:ind w:firstLine="480" w:firstLineChars="200"/>
        <w:rPr>
          <w:rFonts w:ascii="Times New Roman" w:hAnsi="Times New Roman" w:eastAsia="宋体" w:cs="Times New Roman"/>
          <w:bCs/>
          <w:sz w:val="24"/>
          <w:szCs w:val="24"/>
        </w:rPr>
      </w:pPr>
      <w:r>
        <w:rPr>
          <w:rFonts w:hint="eastAsia" w:ascii="Times New Roman" w:hAnsi="Times New Roman" w:eastAsia="宋体" w:cs="Times New Roman"/>
          <w:bCs/>
          <w:sz w:val="24"/>
          <w:szCs w:val="24"/>
        </w:rPr>
        <w:t>根据上述情况，将多花黄精基源、大叶滇黄精成为本标准产品植物基源来源的正品江西绿色生态黄精。</w:t>
      </w:r>
    </w:p>
    <w:p w14:paraId="4D1D9C05">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 xml:space="preserve">7.3 </w:t>
      </w:r>
      <w:r>
        <w:rPr>
          <w:rFonts w:hint="eastAsia" w:ascii="Times New Roman" w:hAnsi="Times New Roman" w:eastAsia="宋体" w:cs="Times New Roman"/>
          <w:sz w:val="24"/>
          <w:szCs w:val="24"/>
        </w:rPr>
        <w:t>资源节约方面</w:t>
      </w:r>
    </w:p>
    <w:p w14:paraId="4C2FBD1D">
      <w:pPr>
        <w:pStyle w:val="24"/>
        <w:shd w:val="clear" w:color="auto" w:fill="FFFFFF"/>
        <w:spacing w:beforeAutospacing="0" w:after="0" w:afterAutospacing="0" w:line="360" w:lineRule="auto"/>
        <w:ind w:firstLine="480" w:firstLineChars="200"/>
        <w:jc w:val="both"/>
        <w:rPr>
          <w:rFonts w:ascii="Times New Roman" w:hAnsi="Times New Roman" w:cs="Times New Roman"/>
          <w:bCs/>
        </w:rPr>
      </w:pPr>
      <w:r>
        <w:rPr>
          <w:rFonts w:hint="eastAsia" w:ascii="Times New Roman" w:hAnsi="Times New Roman" w:cs="Times New Roman"/>
          <w:bCs/>
        </w:rPr>
        <w:t>（</w:t>
      </w:r>
      <w:r>
        <w:rPr>
          <w:rFonts w:ascii="Times New Roman" w:hAnsi="Times New Roman" w:cs="Times New Roman"/>
          <w:bCs/>
        </w:rPr>
        <w:t>1</w:t>
      </w:r>
      <w:r>
        <w:rPr>
          <w:rFonts w:hint="eastAsia" w:ascii="Times New Roman" w:hAnsi="Times New Roman" w:cs="Times New Roman"/>
          <w:bCs/>
        </w:rPr>
        <w:t>）鼓励机械化应用的重要性</w:t>
      </w:r>
    </w:p>
    <w:p w14:paraId="750A9DB9">
      <w:pPr>
        <w:pStyle w:val="24"/>
        <w:shd w:val="clear" w:color="auto" w:fill="FFFFFF"/>
        <w:spacing w:beforeAutospacing="0" w:after="0" w:afterAutospacing="0" w:line="360" w:lineRule="auto"/>
        <w:ind w:firstLine="480" w:firstLineChars="200"/>
        <w:jc w:val="both"/>
        <w:rPr>
          <w:rFonts w:ascii="Times New Roman" w:hAnsi="Times New Roman" w:cs="Times New Roman"/>
        </w:rPr>
      </w:pPr>
      <w:r>
        <w:rPr>
          <w:rFonts w:hint="eastAsia" w:ascii="Times New Roman" w:hAnsi="Times New Roman" w:cs="Times New Roman"/>
        </w:rPr>
        <w:t>鼓励采用机械化操作，节约人力成本，提高效率。采收、晾晒和炮制时，选择适宜天气和机械设备，避免因工艺、设备、天气而减产。</w:t>
      </w:r>
    </w:p>
    <w:p w14:paraId="1173D776">
      <w:pPr>
        <w:spacing w:line="360" w:lineRule="auto"/>
        <w:ind w:firstLine="480" w:firstLineChars="200"/>
        <w:rPr>
          <w:rFonts w:ascii="Times New Roman" w:hAnsi="Times New Roman" w:eastAsia="宋体" w:cs="Times New Roman"/>
          <w:b/>
          <w:sz w:val="24"/>
          <w:szCs w:val="24"/>
        </w:rPr>
      </w:pPr>
      <w:r>
        <w:rPr>
          <w:rFonts w:hint="eastAsia" w:ascii="Times New Roman" w:hAnsi="Times New Roman" w:eastAsia="宋体" w:cs="Times New Roman"/>
          <w:bCs/>
          <w:sz w:val="24"/>
          <w:szCs w:val="24"/>
        </w:rPr>
        <w:t>黄精古代炮制方法考证：孟诜《食疗本草》</w:t>
      </w:r>
      <w:r>
        <w:rPr>
          <w:rFonts w:ascii="Times New Roman" w:hAnsi="Times New Roman" w:eastAsia="宋体" w:cs="Times New Roman"/>
          <w:bCs/>
          <w:sz w:val="24"/>
          <w:szCs w:val="24"/>
          <w:vertAlign w:val="superscript"/>
        </w:rPr>
        <w:t>[24]</w:t>
      </w:r>
      <w:r>
        <w:rPr>
          <w:rFonts w:hint="eastAsia" w:ascii="Times New Roman" w:hAnsi="Times New Roman" w:eastAsia="宋体" w:cs="Times New Roman"/>
          <w:bCs/>
          <w:sz w:val="24"/>
          <w:szCs w:val="24"/>
        </w:rPr>
        <w:t>对黄精炮制记载“蒸之，若生</w:t>
      </w:r>
      <w:r>
        <w:rPr>
          <w:rFonts w:hint="eastAsia" w:ascii="Times New Roman" w:hAnsi="Times New Roman" w:eastAsia="宋体" w:cs="Times New Roman"/>
          <w:sz w:val="24"/>
          <w:szCs w:val="24"/>
        </w:rPr>
        <w:t>则刺人咽喉，曝使干，不尔朽坏”。即黄精生用易使舌头产生麻舌感，喉咙有刺激性，且皮肤接触其汁液会产生瘙痒感。故黄精多炮制后入药。黄精炮制历史悠久，现对于黄精炮制历史沿革进行梳理，见表</w:t>
      </w:r>
      <w:r>
        <w:rPr>
          <w:rFonts w:ascii="Times New Roman" w:hAnsi="Times New Roman" w:eastAsia="宋体" w:cs="Times New Roman"/>
          <w:sz w:val="24"/>
          <w:szCs w:val="24"/>
        </w:rPr>
        <w:t>1</w:t>
      </w:r>
      <w:r>
        <w:rPr>
          <w:rFonts w:hint="eastAsia" w:ascii="Times New Roman" w:hAnsi="Times New Roman" w:eastAsia="宋体" w:cs="Times New Roman"/>
          <w:sz w:val="24"/>
          <w:szCs w:val="24"/>
        </w:rPr>
        <w:t>。</w:t>
      </w:r>
    </w:p>
    <w:p w14:paraId="4D4FEC1F">
      <w:pPr>
        <w:spacing w:line="360" w:lineRule="auto"/>
        <w:ind w:firstLine="480" w:firstLineChars="200"/>
        <w:jc w:val="center"/>
        <w:rPr>
          <w:rFonts w:ascii="Times New Roman" w:hAnsi="Times New Roman" w:eastAsia="宋体" w:cs="Times New Roman"/>
          <w:sz w:val="24"/>
        </w:rPr>
      </w:pPr>
      <w:r>
        <w:rPr>
          <w:rFonts w:hint="eastAsia" w:ascii="Times New Roman" w:hAnsi="Times New Roman" w:eastAsia="宋体" w:cs="Times New Roman"/>
          <w:sz w:val="24"/>
        </w:rPr>
        <w:t>表</w:t>
      </w:r>
      <w:r>
        <w:rPr>
          <w:rFonts w:ascii="Times New Roman" w:hAnsi="Times New Roman" w:eastAsia="宋体" w:cs="Times New Roman"/>
          <w:sz w:val="24"/>
        </w:rPr>
        <w:t xml:space="preserve">1 </w:t>
      </w:r>
      <w:r>
        <w:rPr>
          <w:rFonts w:hint="eastAsia" w:ascii="Times New Roman" w:hAnsi="Times New Roman" w:eastAsia="宋体" w:cs="Times New Roman"/>
          <w:sz w:val="24"/>
        </w:rPr>
        <w:t>黄精古代炮制方法历史沿革</w:t>
      </w:r>
    </w:p>
    <w:p w14:paraId="677AA4E3">
      <w:pPr>
        <w:spacing w:line="360" w:lineRule="auto"/>
        <w:ind w:firstLine="480" w:firstLineChars="200"/>
        <w:jc w:val="center"/>
        <w:rPr>
          <w:rFonts w:ascii="Times New Roman" w:hAnsi="Times New Roman" w:eastAsia="宋体" w:cs="Times New Roman"/>
          <w:sz w:val="24"/>
        </w:rPr>
      </w:pPr>
      <w:r>
        <w:rPr>
          <w:rFonts w:ascii="Times New Roman" w:hAnsi="Times New Roman" w:eastAsia="宋体" w:cs="Times New Roman"/>
          <w:sz w:val="24"/>
        </w:rPr>
        <w:t xml:space="preserve">Tab.1 The history of ancient processing methods of </w:t>
      </w:r>
      <w:r>
        <w:rPr>
          <w:rFonts w:ascii="Times New Roman" w:hAnsi="Times New Roman" w:eastAsia="宋体" w:cs="Times New Roman"/>
          <w:i/>
          <w:iCs/>
          <w:sz w:val="24"/>
        </w:rPr>
        <w:t>Polygonatum</w:t>
      </w:r>
    </w:p>
    <w:tbl>
      <w:tblPr>
        <w:tblStyle w:val="27"/>
        <w:tblW w:w="0" w:type="auto"/>
        <w:jc w:val="center"/>
        <w:tblBorders>
          <w:top w:val="single" w:color="000000" w:sz="12" w:space="0"/>
          <w:left w:val="none" w:color="auto" w:sz="4" w:space="0"/>
          <w:bottom w:val="single" w:color="000000" w:sz="12" w:space="0"/>
          <w:right w:val="none" w:color="auto" w:sz="4" w:space="0"/>
          <w:insideH w:val="none" w:color="auto" w:sz="4" w:space="0"/>
          <w:insideV w:val="none" w:color="auto" w:sz="4" w:space="0"/>
        </w:tblBorders>
        <w:tblLayout w:type="autofit"/>
        <w:tblCellMar>
          <w:top w:w="0" w:type="dxa"/>
          <w:left w:w="108" w:type="dxa"/>
          <w:bottom w:w="0" w:type="dxa"/>
          <w:right w:w="108" w:type="dxa"/>
        </w:tblCellMar>
      </w:tblPr>
      <w:tblGrid>
        <w:gridCol w:w="1482"/>
        <w:gridCol w:w="5459"/>
        <w:gridCol w:w="1350"/>
      </w:tblGrid>
      <w:tr w14:paraId="651205F4">
        <w:tblPrEx>
          <w:tblBorders>
            <w:top w:val="single" w:color="000000" w:sz="12" w:space="0"/>
            <w:left w:val="none" w:color="auto" w:sz="4" w:space="0"/>
            <w:bottom w:val="single" w:color="000000" w:sz="12" w:space="0"/>
            <w:right w:val="none" w:color="auto" w:sz="4" w:space="0"/>
            <w:insideH w:val="none" w:color="auto" w:sz="4" w:space="0"/>
            <w:insideV w:val="none" w:color="auto" w:sz="4" w:space="0"/>
          </w:tblBorders>
          <w:tblCellMar>
            <w:top w:w="0" w:type="dxa"/>
            <w:left w:w="108" w:type="dxa"/>
            <w:bottom w:w="0" w:type="dxa"/>
            <w:right w:w="108" w:type="dxa"/>
          </w:tblCellMar>
        </w:tblPrEx>
        <w:trPr>
          <w:trHeight w:val="273" w:hRule="atLeast"/>
          <w:jc w:val="center"/>
        </w:trPr>
        <w:tc>
          <w:tcPr>
            <w:tcW w:w="1482" w:type="dxa"/>
            <w:tcBorders>
              <w:top w:val="single" w:color="000000" w:sz="12" w:space="0"/>
              <w:left w:val="nil"/>
              <w:bottom w:val="single" w:color="000000" w:sz="8" w:space="0"/>
              <w:right w:val="nil"/>
            </w:tcBorders>
            <w:shd w:val="clear" w:color="auto" w:fill="auto"/>
            <w:vAlign w:val="center"/>
          </w:tcPr>
          <w:p w14:paraId="486DC73C">
            <w:pPr>
              <w:spacing w:line="360" w:lineRule="auto"/>
              <w:jc w:val="center"/>
              <w:rPr>
                <w:rFonts w:ascii="Times New Roman" w:hAnsi="Times New Roman" w:eastAsia="宋体" w:cs="Times New Roman"/>
                <w:szCs w:val="18"/>
              </w:rPr>
            </w:pPr>
            <w:r>
              <w:rPr>
                <w:rFonts w:hint="eastAsia" w:ascii="Times New Roman" w:hAnsi="Times New Roman" w:eastAsia="宋体" w:cs="Times New Roman"/>
                <w:szCs w:val="18"/>
              </w:rPr>
              <w:t>炮制方法</w:t>
            </w:r>
          </w:p>
        </w:tc>
        <w:tc>
          <w:tcPr>
            <w:tcW w:w="5459" w:type="dxa"/>
            <w:tcBorders>
              <w:top w:val="single" w:color="000000" w:sz="12" w:space="0"/>
              <w:left w:val="nil"/>
              <w:bottom w:val="single" w:color="000000" w:sz="8" w:space="0"/>
              <w:right w:val="nil"/>
            </w:tcBorders>
            <w:shd w:val="clear" w:color="auto" w:fill="auto"/>
            <w:vAlign w:val="center"/>
          </w:tcPr>
          <w:p w14:paraId="75A58501">
            <w:pPr>
              <w:spacing w:line="360" w:lineRule="auto"/>
              <w:jc w:val="center"/>
              <w:rPr>
                <w:rFonts w:ascii="Times New Roman" w:hAnsi="Times New Roman" w:eastAsia="宋体" w:cs="Times New Roman"/>
                <w:szCs w:val="18"/>
              </w:rPr>
            </w:pPr>
            <w:r>
              <w:rPr>
                <w:rFonts w:hint="eastAsia" w:ascii="Times New Roman" w:hAnsi="Times New Roman" w:eastAsia="宋体" w:cs="Times New Roman"/>
                <w:szCs w:val="18"/>
              </w:rPr>
              <w:t>炮制工艺</w:t>
            </w:r>
          </w:p>
        </w:tc>
        <w:tc>
          <w:tcPr>
            <w:tcW w:w="1350" w:type="dxa"/>
            <w:tcBorders>
              <w:top w:val="single" w:color="000000" w:sz="12" w:space="0"/>
              <w:left w:val="nil"/>
              <w:bottom w:val="single" w:color="000000" w:sz="8" w:space="0"/>
              <w:right w:val="nil"/>
            </w:tcBorders>
            <w:shd w:val="clear" w:color="auto" w:fill="auto"/>
            <w:vAlign w:val="center"/>
          </w:tcPr>
          <w:p w14:paraId="4697A545">
            <w:pPr>
              <w:spacing w:line="360" w:lineRule="auto"/>
              <w:jc w:val="center"/>
              <w:rPr>
                <w:rFonts w:ascii="Times New Roman" w:hAnsi="Times New Roman" w:eastAsia="宋体" w:cs="Times New Roman"/>
                <w:szCs w:val="18"/>
              </w:rPr>
            </w:pPr>
            <w:r>
              <w:rPr>
                <w:rFonts w:hint="eastAsia" w:ascii="Times New Roman" w:hAnsi="Times New Roman" w:eastAsia="宋体" w:cs="Times New Roman"/>
                <w:szCs w:val="18"/>
              </w:rPr>
              <w:t>文献出处</w:t>
            </w:r>
          </w:p>
        </w:tc>
      </w:tr>
      <w:tr w14:paraId="466E8345">
        <w:tblPrEx>
          <w:tblBorders>
            <w:top w:val="single" w:color="000000" w:sz="12" w:space="0"/>
            <w:left w:val="none" w:color="auto" w:sz="4" w:space="0"/>
            <w:bottom w:val="single" w:color="000000" w:sz="12" w:space="0"/>
            <w:right w:val="none" w:color="auto" w:sz="4" w:space="0"/>
            <w:insideH w:val="none" w:color="auto" w:sz="4" w:space="0"/>
            <w:insideV w:val="none" w:color="auto" w:sz="4" w:space="0"/>
          </w:tblBorders>
          <w:tblCellMar>
            <w:top w:w="0" w:type="dxa"/>
            <w:left w:w="108" w:type="dxa"/>
            <w:bottom w:w="0" w:type="dxa"/>
            <w:right w:w="108" w:type="dxa"/>
          </w:tblCellMar>
        </w:tblPrEx>
        <w:trPr>
          <w:trHeight w:val="235" w:hRule="atLeast"/>
          <w:jc w:val="center"/>
        </w:trPr>
        <w:tc>
          <w:tcPr>
            <w:tcW w:w="1482" w:type="dxa"/>
            <w:tcBorders>
              <w:top w:val="single" w:color="000000" w:sz="8" w:space="0"/>
            </w:tcBorders>
            <w:shd w:val="clear" w:color="auto" w:fill="auto"/>
            <w:vAlign w:val="center"/>
          </w:tcPr>
          <w:p w14:paraId="093B91D1">
            <w:pPr>
              <w:spacing w:line="360" w:lineRule="auto"/>
              <w:jc w:val="center"/>
              <w:rPr>
                <w:rFonts w:ascii="Times New Roman" w:hAnsi="Times New Roman" w:eastAsia="宋体" w:cs="Times New Roman"/>
                <w:szCs w:val="18"/>
              </w:rPr>
            </w:pPr>
            <w:r>
              <w:rPr>
                <w:rFonts w:hint="eastAsia" w:ascii="Times New Roman" w:hAnsi="Times New Roman" w:eastAsia="宋体" w:cs="Times New Roman"/>
                <w:szCs w:val="18"/>
              </w:rPr>
              <w:t>净制</w:t>
            </w:r>
          </w:p>
        </w:tc>
        <w:tc>
          <w:tcPr>
            <w:tcW w:w="5459" w:type="dxa"/>
            <w:tcBorders>
              <w:top w:val="single" w:color="000000" w:sz="8" w:space="0"/>
            </w:tcBorders>
            <w:shd w:val="clear" w:color="auto" w:fill="auto"/>
            <w:vAlign w:val="center"/>
          </w:tcPr>
          <w:p w14:paraId="12962B85">
            <w:pPr>
              <w:spacing w:line="360" w:lineRule="auto"/>
              <w:jc w:val="center"/>
              <w:rPr>
                <w:rFonts w:ascii="Times New Roman" w:hAnsi="Times New Roman" w:eastAsia="宋体" w:cs="Times New Roman"/>
                <w:szCs w:val="18"/>
              </w:rPr>
            </w:pPr>
            <w:r>
              <w:rPr>
                <w:rFonts w:hint="eastAsia" w:ascii="Times New Roman" w:hAnsi="Times New Roman" w:eastAsia="宋体" w:cs="Times New Roman"/>
                <w:szCs w:val="18"/>
              </w:rPr>
              <w:t>洗净、去须</w:t>
            </w:r>
          </w:p>
        </w:tc>
        <w:tc>
          <w:tcPr>
            <w:tcW w:w="1350" w:type="dxa"/>
            <w:tcBorders>
              <w:top w:val="single" w:color="000000" w:sz="8" w:space="0"/>
            </w:tcBorders>
            <w:shd w:val="clear" w:color="auto" w:fill="auto"/>
            <w:vAlign w:val="center"/>
          </w:tcPr>
          <w:p w14:paraId="45AAAB89">
            <w:pPr>
              <w:spacing w:line="360" w:lineRule="auto"/>
              <w:jc w:val="center"/>
              <w:rPr>
                <w:rFonts w:ascii="Times New Roman" w:hAnsi="Times New Roman" w:eastAsia="宋体" w:cs="Times New Roman"/>
                <w:szCs w:val="18"/>
              </w:rPr>
            </w:pPr>
            <w:bookmarkStart w:id="6" w:name="_Hlk93773833"/>
            <w:r>
              <w:rPr>
                <w:rFonts w:ascii="Times New Roman" w:hAnsi="Times New Roman" w:eastAsia="宋体" w:cs="Times New Roman"/>
                <w:szCs w:val="18"/>
              </w:rPr>
              <w:t>[25]</w:t>
            </w:r>
            <w:bookmarkEnd w:id="6"/>
            <w:r>
              <w:rPr>
                <w:rFonts w:hint="eastAsia" w:ascii="Times New Roman" w:hAnsi="Times New Roman" w:eastAsia="宋体" w:cs="Times New Roman"/>
                <w:szCs w:val="18"/>
              </w:rPr>
              <w:t>、</w:t>
            </w:r>
            <w:bookmarkStart w:id="7" w:name="_Hlk93773860"/>
            <w:r>
              <w:rPr>
                <w:rFonts w:ascii="Times New Roman" w:hAnsi="Times New Roman" w:eastAsia="宋体" w:cs="Times New Roman"/>
                <w:szCs w:val="18"/>
              </w:rPr>
              <w:t>[26]</w:t>
            </w:r>
            <w:bookmarkEnd w:id="7"/>
          </w:p>
        </w:tc>
      </w:tr>
      <w:tr w14:paraId="51254207">
        <w:tblPrEx>
          <w:tblBorders>
            <w:top w:val="single" w:color="000000" w:sz="12" w:space="0"/>
            <w:left w:val="none" w:color="auto" w:sz="4" w:space="0"/>
            <w:bottom w:val="single" w:color="000000" w:sz="12" w:space="0"/>
            <w:right w:val="none" w:color="auto" w:sz="4" w:space="0"/>
            <w:insideH w:val="none" w:color="auto" w:sz="4" w:space="0"/>
            <w:insideV w:val="none" w:color="auto" w:sz="4" w:space="0"/>
          </w:tblBorders>
          <w:tblCellMar>
            <w:top w:w="0" w:type="dxa"/>
            <w:left w:w="108" w:type="dxa"/>
            <w:bottom w:w="0" w:type="dxa"/>
            <w:right w:w="108" w:type="dxa"/>
          </w:tblCellMar>
        </w:tblPrEx>
        <w:trPr>
          <w:trHeight w:val="197" w:hRule="atLeast"/>
          <w:jc w:val="center"/>
        </w:trPr>
        <w:tc>
          <w:tcPr>
            <w:tcW w:w="1482" w:type="dxa"/>
            <w:shd w:val="clear" w:color="auto" w:fill="auto"/>
            <w:vAlign w:val="center"/>
          </w:tcPr>
          <w:p w14:paraId="350EB611">
            <w:pPr>
              <w:spacing w:line="360" w:lineRule="auto"/>
              <w:jc w:val="center"/>
              <w:rPr>
                <w:rFonts w:ascii="Times New Roman" w:hAnsi="Times New Roman" w:eastAsia="宋体" w:cs="Times New Roman"/>
                <w:szCs w:val="18"/>
              </w:rPr>
            </w:pPr>
            <w:r>
              <w:rPr>
                <w:rFonts w:hint="eastAsia" w:ascii="Times New Roman" w:hAnsi="Times New Roman" w:eastAsia="宋体" w:cs="Times New Roman"/>
                <w:szCs w:val="18"/>
              </w:rPr>
              <w:t>切制</w:t>
            </w:r>
          </w:p>
        </w:tc>
        <w:tc>
          <w:tcPr>
            <w:tcW w:w="5459" w:type="dxa"/>
            <w:shd w:val="clear" w:color="auto" w:fill="auto"/>
            <w:vAlign w:val="center"/>
          </w:tcPr>
          <w:p w14:paraId="0D2D1174">
            <w:pPr>
              <w:spacing w:line="360" w:lineRule="auto"/>
              <w:jc w:val="center"/>
              <w:rPr>
                <w:rFonts w:ascii="Times New Roman" w:hAnsi="Times New Roman" w:eastAsia="宋体" w:cs="Times New Roman"/>
                <w:szCs w:val="18"/>
              </w:rPr>
            </w:pPr>
            <w:r>
              <w:rPr>
                <w:rFonts w:hint="eastAsia" w:ascii="Times New Roman" w:hAnsi="Times New Roman" w:eastAsia="宋体" w:cs="Times New Roman"/>
                <w:szCs w:val="18"/>
              </w:rPr>
              <w:t>细切</w:t>
            </w:r>
          </w:p>
        </w:tc>
        <w:tc>
          <w:tcPr>
            <w:tcW w:w="1350" w:type="dxa"/>
            <w:shd w:val="clear" w:color="auto" w:fill="auto"/>
            <w:vAlign w:val="center"/>
          </w:tcPr>
          <w:p w14:paraId="3D886364">
            <w:pPr>
              <w:spacing w:line="360" w:lineRule="auto"/>
              <w:jc w:val="center"/>
              <w:rPr>
                <w:rFonts w:ascii="Times New Roman" w:hAnsi="Times New Roman" w:eastAsia="宋体" w:cs="Times New Roman"/>
                <w:szCs w:val="18"/>
              </w:rPr>
            </w:pPr>
            <w:bookmarkStart w:id="8" w:name="_Hlk93773882"/>
            <w:r>
              <w:rPr>
                <w:rFonts w:ascii="Times New Roman" w:hAnsi="Times New Roman" w:eastAsia="宋体" w:cs="Times New Roman"/>
                <w:szCs w:val="18"/>
              </w:rPr>
              <w:t>[27]</w:t>
            </w:r>
            <w:bookmarkEnd w:id="8"/>
            <w:r>
              <w:rPr>
                <w:rFonts w:hint="eastAsia" w:ascii="Times New Roman" w:hAnsi="Times New Roman" w:eastAsia="宋体" w:cs="Times New Roman"/>
                <w:szCs w:val="18"/>
              </w:rPr>
              <w:t>、</w:t>
            </w:r>
            <w:bookmarkStart w:id="9" w:name="_Hlk93773894"/>
            <w:r>
              <w:rPr>
                <w:rFonts w:ascii="Times New Roman" w:hAnsi="Times New Roman" w:eastAsia="宋体" w:cs="Times New Roman"/>
                <w:szCs w:val="18"/>
              </w:rPr>
              <w:t>[28]</w:t>
            </w:r>
            <w:bookmarkEnd w:id="9"/>
          </w:p>
        </w:tc>
      </w:tr>
      <w:tr w14:paraId="1E2789AC">
        <w:tblPrEx>
          <w:tblBorders>
            <w:top w:val="single" w:color="000000" w:sz="12" w:space="0"/>
            <w:left w:val="none" w:color="auto" w:sz="4" w:space="0"/>
            <w:bottom w:val="single" w:color="000000" w:sz="12" w:space="0"/>
            <w:right w:val="none" w:color="auto" w:sz="4" w:space="0"/>
            <w:insideH w:val="none" w:color="auto" w:sz="4" w:space="0"/>
            <w:insideV w:val="none" w:color="auto" w:sz="4" w:space="0"/>
          </w:tblBorders>
          <w:tblCellMar>
            <w:top w:w="0" w:type="dxa"/>
            <w:left w:w="108" w:type="dxa"/>
            <w:bottom w:w="0" w:type="dxa"/>
            <w:right w:w="108" w:type="dxa"/>
          </w:tblCellMar>
        </w:tblPrEx>
        <w:trPr>
          <w:trHeight w:val="712" w:hRule="atLeast"/>
          <w:jc w:val="center"/>
        </w:trPr>
        <w:tc>
          <w:tcPr>
            <w:tcW w:w="1482" w:type="dxa"/>
            <w:shd w:val="clear" w:color="auto" w:fill="auto"/>
            <w:vAlign w:val="center"/>
          </w:tcPr>
          <w:p w14:paraId="68FD56D0">
            <w:pPr>
              <w:spacing w:line="360" w:lineRule="auto"/>
              <w:jc w:val="center"/>
              <w:rPr>
                <w:rFonts w:ascii="Times New Roman" w:hAnsi="Times New Roman" w:eastAsia="宋体" w:cs="Times New Roman"/>
                <w:szCs w:val="18"/>
              </w:rPr>
            </w:pPr>
            <w:r>
              <w:rPr>
                <w:rFonts w:hint="eastAsia" w:ascii="Times New Roman" w:hAnsi="Times New Roman" w:eastAsia="宋体" w:cs="Times New Roman"/>
                <w:szCs w:val="18"/>
              </w:rPr>
              <w:t>蒸制</w:t>
            </w:r>
          </w:p>
        </w:tc>
        <w:tc>
          <w:tcPr>
            <w:tcW w:w="5459" w:type="dxa"/>
            <w:shd w:val="clear" w:color="auto" w:fill="auto"/>
            <w:vAlign w:val="center"/>
          </w:tcPr>
          <w:p w14:paraId="6B969E2E">
            <w:pPr>
              <w:spacing w:line="360" w:lineRule="auto"/>
              <w:jc w:val="center"/>
              <w:rPr>
                <w:rFonts w:ascii="Times New Roman" w:hAnsi="Times New Roman" w:eastAsia="宋体" w:cs="Times New Roman"/>
                <w:szCs w:val="18"/>
              </w:rPr>
            </w:pPr>
            <w:r>
              <w:rPr>
                <w:rFonts w:hint="eastAsia" w:ascii="Times New Roman" w:hAnsi="Times New Roman" w:eastAsia="宋体" w:cs="Times New Roman"/>
                <w:szCs w:val="18"/>
              </w:rPr>
              <w:t>取瓮子，去底，釜上安置，令得所盛黄精，令满。密盖，蒸之，令汽溜，即曝之第一遍，蒸之亦如此，九蒸九晒</w:t>
            </w:r>
          </w:p>
        </w:tc>
        <w:tc>
          <w:tcPr>
            <w:tcW w:w="1350" w:type="dxa"/>
            <w:shd w:val="clear" w:color="auto" w:fill="auto"/>
            <w:vAlign w:val="center"/>
          </w:tcPr>
          <w:p w14:paraId="1413E3AE">
            <w:pPr>
              <w:spacing w:line="360" w:lineRule="auto"/>
              <w:jc w:val="center"/>
              <w:rPr>
                <w:rFonts w:ascii="Times New Roman" w:hAnsi="Times New Roman" w:eastAsia="宋体" w:cs="Times New Roman"/>
                <w:szCs w:val="18"/>
              </w:rPr>
            </w:pPr>
            <w:bookmarkStart w:id="10" w:name="_Hlk93773921"/>
            <w:r>
              <w:rPr>
                <w:rFonts w:ascii="Times New Roman" w:hAnsi="Times New Roman" w:eastAsia="宋体" w:cs="Times New Roman"/>
                <w:szCs w:val="18"/>
              </w:rPr>
              <w:t>[29]</w:t>
            </w:r>
            <w:bookmarkEnd w:id="10"/>
            <w:r>
              <w:rPr>
                <w:rFonts w:hint="eastAsia" w:ascii="Times New Roman" w:hAnsi="Times New Roman" w:eastAsia="宋体" w:cs="Times New Roman"/>
                <w:szCs w:val="18"/>
              </w:rPr>
              <w:t>、</w:t>
            </w:r>
            <w:bookmarkStart w:id="11" w:name="_Hlk93773937"/>
            <w:r>
              <w:rPr>
                <w:rFonts w:ascii="Times New Roman" w:hAnsi="Times New Roman" w:eastAsia="宋体" w:cs="Times New Roman"/>
                <w:szCs w:val="18"/>
              </w:rPr>
              <w:t>[30]</w:t>
            </w:r>
            <w:bookmarkEnd w:id="11"/>
          </w:p>
        </w:tc>
      </w:tr>
      <w:tr w14:paraId="374ABD22">
        <w:tblPrEx>
          <w:tblBorders>
            <w:top w:val="single" w:color="000000" w:sz="12" w:space="0"/>
            <w:left w:val="none" w:color="auto" w:sz="4" w:space="0"/>
            <w:bottom w:val="single" w:color="000000" w:sz="12" w:space="0"/>
            <w:right w:val="none" w:color="auto" w:sz="4" w:space="0"/>
            <w:insideH w:val="none" w:color="auto" w:sz="4" w:space="0"/>
            <w:insideV w:val="none" w:color="auto" w:sz="4" w:space="0"/>
          </w:tblBorders>
          <w:tblCellMar>
            <w:top w:w="0" w:type="dxa"/>
            <w:left w:w="108" w:type="dxa"/>
            <w:bottom w:w="0" w:type="dxa"/>
            <w:right w:w="108" w:type="dxa"/>
          </w:tblCellMar>
        </w:tblPrEx>
        <w:trPr>
          <w:trHeight w:val="429" w:hRule="atLeast"/>
          <w:jc w:val="center"/>
        </w:trPr>
        <w:tc>
          <w:tcPr>
            <w:tcW w:w="1482" w:type="dxa"/>
            <w:shd w:val="clear" w:color="auto" w:fill="auto"/>
            <w:vAlign w:val="center"/>
          </w:tcPr>
          <w:p w14:paraId="155E2D31">
            <w:pPr>
              <w:spacing w:line="360" w:lineRule="auto"/>
              <w:jc w:val="center"/>
              <w:rPr>
                <w:rFonts w:ascii="Times New Roman" w:hAnsi="Times New Roman" w:eastAsia="宋体" w:cs="Times New Roman"/>
                <w:szCs w:val="18"/>
              </w:rPr>
            </w:pPr>
            <w:r>
              <w:rPr>
                <w:rFonts w:hint="eastAsia" w:ascii="Times New Roman" w:hAnsi="Times New Roman" w:eastAsia="宋体" w:cs="Times New Roman"/>
                <w:szCs w:val="18"/>
              </w:rPr>
              <w:t>黑豆制</w:t>
            </w:r>
          </w:p>
        </w:tc>
        <w:tc>
          <w:tcPr>
            <w:tcW w:w="5459" w:type="dxa"/>
            <w:shd w:val="clear" w:color="auto" w:fill="auto"/>
            <w:vAlign w:val="center"/>
          </w:tcPr>
          <w:p w14:paraId="2ACBE2C8">
            <w:pPr>
              <w:spacing w:line="360" w:lineRule="auto"/>
              <w:jc w:val="center"/>
              <w:rPr>
                <w:rFonts w:ascii="Times New Roman" w:hAnsi="Times New Roman" w:eastAsia="宋体" w:cs="Times New Roman"/>
                <w:szCs w:val="18"/>
              </w:rPr>
            </w:pPr>
            <w:r>
              <w:rPr>
                <w:rFonts w:hint="eastAsia" w:ascii="Times New Roman" w:hAnsi="Times New Roman" w:eastAsia="宋体" w:cs="Times New Roman"/>
                <w:szCs w:val="18"/>
              </w:rPr>
              <w:t>四两，黑豆两升，同煮熟去豆</w:t>
            </w:r>
          </w:p>
        </w:tc>
        <w:tc>
          <w:tcPr>
            <w:tcW w:w="1350" w:type="dxa"/>
            <w:shd w:val="clear" w:color="auto" w:fill="auto"/>
            <w:vAlign w:val="center"/>
          </w:tcPr>
          <w:p w14:paraId="4557165D">
            <w:pPr>
              <w:spacing w:line="360" w:lineRule="auto"/>
              <w:jc w:val="center"/>
              <w:rPr>
                <w:rFonts w:ascii="Times New Roman" w:hAnsi="Times New Roman" w:eastAsia="宋体" w:cs="Times New Roman"/>
                <w:szCs w:val="18"/>
              </w:rPr>
            </w:pPr>
            <w:bookmarkStart w:id="12" w:name="_Hlk93773947"/>
            <w:r>
              <w:rPr>
                <w:rFonts w:ascii="Times New Roman" w:hAnsi="Times New Roman" w:eastAsia="宋体" w:cs="Times New Roman"/>
                <w:szCs w:val="18"/>
              </w:rPr>
              <w:t>[31]</w:t>
            </w:r>
            <w:bookmarkEnd w:id="12"/>
          </w:p>
        </w:tc>
      </w:tr>
      <w:tr w14:paraId="30F71F0D">
        <w:tblPrEx>
          <w:tblBorders>
            <w:top w:val="single" w:color="000000" w:sz="12" w:space="0"/>
            <w:left w:val="none" w:color="auto" w:sz="4" w:space="0"/>
            <w:bottom w:val="single" w:color="000000" w:sz="12" w:space="0"/>
            <w:right w:val="none" w:color="auto" w:sz="4" w:space="0"/>
            <w:insideH w:val="none" w:color="auto" w:sz="4" w:space="0"/>
            <w:insideV w:val="none" w:color="auto" w:sz="4" w:space="0"/>
          </w:tblBorders>
          <w:tblCellMar>
            <w:top w:w="0" w:type="dxa"/>
            <w:left w:w="108" w:type="dxa"/>
            <w:bottom w:w="0" w:type="dxa"/>
            <w:right w:w="108" w:type="dxa"/>
          </w:tblCellMar>
        </w:tblPrEx>
        <w:trPr>
          <w:trHeight w:val="567" w:hRule="atLeast"/>
          <w:jc w:val="center"/>
        </w:trPr>
        <w:tc>
          <w:tcPr>
            <w:tcW w:w="1482" w:type="dxa"/>
            <w:shd w:val="clear" w:color="auto" w:fill="auto"/>
            <w:vAlign w:val="center"/>
          </w:tcPr>
          <w:p w14:paraId="56B98000">
            <w:pPr>
              <w:spacing w:line="360" w:lineRule="auto"/>
              <w:jc w:val="center"/>
              <w:rPr>
                <w:rFonts w:ascii="Times New Roman" w:hAnsi="Times New Roman" w:eastAsia="宋体" w:cs="Times New Roman"/>
                <w:szCs w:val="18"/>
              </w:rPr>
            </w:pPr>
            <w:r>
              <w:rPr>
                <w:rFonts w:hint="eastAsia" w:ascii="Times New Roman" w:hAnsi="Times New Roman" w:eastAsia="宋体" w:cs="Times New Roman"/>
                <w:szCs w:val="18"/>
              </w:rPr>
              <w:t>煮制</w:t>
            </w:r>
          </w:p>
        </w:tc>
        <w:tc>
          <w:tcPr>
            <w:tcW w:w="5459" w:type="dxa"/>
            <w:shd w:val="clear" w:color="auto" w:fill="auto"/>
            <w:vAlign w:val="center"/>
          </w:tcPr>
          <w:p w14:paraId="309D1E5E">
            <w:pPr>
              <w:spacing w:line="360" w:lineRule="auto"/>
              <w:jc w:val="center"/>
              <w:rPr>
                <w:rFonts w:ascii="Times New Roman" w:hAnsi="Times New Roman" w:eastAsia="宋体" w:cs="Times New Roman"/>
                <w:szCs w:val="18"/>
              </w:rPr>
            </w:pPr>
            <w:r>
              <w:rPr>
                <w:rFonts w:hint="eastAsia" w:ascii="Times New Roman" w:hAnsi="Times New Roman" w:eastAsia="宋体" w:cs="Times New Roman"/>
                <w:szCs w:val="18"/>
              </w:rPr>
              <w:t>黄精鲜者，用水煮，烂熟，漉起，晒干复蒸之，又晒</w:t>
            </w:r>
          </w:p>
        </w:tc>
        <w:tc>
          <w:tcPr>
            <w:tcW w:w="1350" w:type="dxa"/>
            <w:shd w:val="clear" w:color="auto" w:fill="auto"/>
            <w:vAlign w:val="center"/>
          </w:tcPr>
          <w:p w14:paraId="35A433B2">
            <w:pPr>
              <w:spacing w:line="360" w:lineRule="auto"/>
              <w:jc w:val="center"/>
              <w:rPr>
                <w:rFonts w:ascii="Times New Roman" w:hAnsi="Times New Roman" w:eastAsia="宋体" w:cs="Times New Roman"/>
                <w:szCs w:val="18"/>
              </w:rPr>
            </w:pPr>
            <w:bookmarkStart w:id="13" w:name="_Hlk93773967"/>
            <w:r>
              <w:rPr>
                <w:rFonts w:ascii="Times New Roman" w:hAnsi="Times New Roman" w:eastAsia="宋体" w:cs="Times New Roman"/>
                <w:szCs w:val="18"/>
              </w:rPr>
              <w:t>[32]</w:t>
            </w:r>
            <w:bookmarkEnd w:id="13"/>
            <w:r>
              <w:rPr>
                <w:rFonts w:hint="eastAsia" w:ascii="Times New Roman" w:hAnsi="Times New Roman" w:eastAsia="宋体" w:cs="Times New Roman"/>
                <w:szCs w:val="18"/>
              </w:rPr>
              <w:t>、</w:t>
            </w:r>
            <w:bookmarkStart w:id="14" w:name="_Hlk93773978"/>
            <w:r>
              <w:rPr>
                <w:rFonts w:ascii="Times New Roman" w:hAnsi="Times New Roman" w:eastAsia="宋体" w:cs="Times New Roman"/>
                <w:szCs w:val="18"/>
              </w:rPr>
              <w:t>[33]</w:t>
            </w:r>
            <w:bookmarkEnd w:id="14"/>
          </w:p>
        </w:tc>
      </w:tr>
      <w:tr w14:paraId="17183BBC">
        <w:tblPrEx>
          <w:tblBorders>
            <w:top w:val="single" w:color="000000" w:sz="12" w:space="0"/>
            <w:left w:val="none" w:color="auto" w:sz="4" w:space="0"/>
            <w:bottom w:val="single" w:color="000000" w:sz="12" w:space="0"/>
            <w:right w:val="none" w:color="auto" w:sz="4" w:space="0"/>
            <w:insideH w:val="none" w:color="auto" w:sz="4" w:space="0"/>
            <w:insideV w:val="none" w:color="auto" w:sz="4" w:space="0"/>
          </w:tblBorders>
          <w:tblCellMar>
            <w:top w:w="0" w:type="dxa"/>
            <w:left w:w="108" w:type="dxa"/>
            <w:bottom w:w="0" w:type="dxa"/>
            <w:right w:w="108" w:type="dxa"/>
          </w:tblCellMar>
        </w:tblPrEx>
        <w:trPr>
          <w:trHeight w:val="229" w:hRule="atLeast"/>
          <w:jc w:val="center"/>
        </w:trPr>
        <w:tc>
          <w:tcPr>
            <w:tcW w:w="1482" w:type="dxa"/>
            <w:shd w:val="clear" w:color="auto" w:fill="auto"/>
            <w:vAlign w:val="center"/>
          </w:tcPr>
          <w:p w14:paraId="50EED39B">
            <w:pPr>
              <w:spacing w:line="360" w:lineRule="auto"/>
              <w:jc w:val="center"/>
              <w:rPr>
                <w:rFonts w:ascii="Times New Roman" w:hAnsi="Times New Roman" w:eastAsia="宋体" w:cs="Times New Roman"/>
                <w:szCs w:val="18"/>
              </w:rPr>
            </w:pPr>
            <w:r>
              <w:rPr>
                <w:rFonts w:hint="eastAsia" w:ascii="Times New Roman" w:hAnsi="Times New Roman" w:eastAsia="宋体" w:cs="Times New Roman"/>
                <w:szCs w:val="18"/>
              </w:rPr>
              <w:t>酒蒸</w:t>
            </w:r>
          </w:p>
        </w:tc>
        <w:tc>
          <w:tcPr>
            <w:tcW w:w="5459" w:type="dxa"/>
            <w:shd w:val="clear" w:color="auto" w:fill="auto"/>
            <w:vAlign w:val="center"/>
          </w:tcPr>
          <w:p w14:paraId="4BA54E25">
            <w:pPr>
              <w:spacing w:line="360" w:lineRule="auto"/>
              <w:jc w:val="center"/>
              <w:rPr>
                <w:rFonts w:ascii="Times New Roman" w:hAnsi="Times New Roman" w:eastAsia="宋体" w:cs="Times New Roman"/>
                <w:szCs w:val="18"/>
              </w:rPr>
            </w:pPr>
            <w:r>
              <w:rPr>
                <w:rFonts w:hint="eastAsia" w:ascii="Times New Roman" w:hAnsi="Times New Roman" w:eastAsia="宋体" w:cs="Times New Roman"/>
                <w:szCs w:val="18"/>
              </w:rPr>
              <w:t>酒蒸</w:t>
            </w:r>
          </w:p>
        </w:tc>
        <w:tc>
          <w:tcPr>
            <w:tcW w:w="1350" w:type="dxa"/>
            <w:shd w:val="clear" w:color="auto" w:fill="auto"/>
            <w:vAlign w:val="center"/>
          </w:tcPr>
          <w:p w14:paraId="3F345F21">
            <w:pPr>
              <w:spacing w:line="360" w:lineRule="auto"/>
              <w:jc w:val="center"/>
              <w:rPr>
                <w:rFonts w:ascii="Times New Roman" w:hAnsi="Times New Roman" w:eastAsia="宋体" w:cs="Times New Roman"/>
                <w:szCs w:val="18"/>
              </w:rPr>
            </w:pPr>
            <w:bookmarkStart w:id="15" w:name="_Hlk93773989"/>
            <w:r>
              <w:rPr>
                <w:rFonts w:ascii="Times New Roman" w:hAnsi="Times New Roman" w:eastAsia="宋体" w:cs="Times New Roman"/>
                <w:szCs w:val="18"/>
              </w:rPr>
              <w:t>[34]</w:t>
            </w:r>
            <w:bookmarkEnd w:id="15"/>
          </w:p>
        </w:tc>
      </w:tr>
    </w:tbl>
    <w:p w14:paraId="4A96A30E">
      <w:pPr>
        <w:spacing w:line="360" w:lineRule="auto"/>
        <w:ind w:firstLine="480" w:firstLineChars="200"/>
        <w:rPr>
          <w:rFonts w:ascii="宋体" w:hAnsi="宋体" w:eastAsia="宋体" w:cs="宋体"/>
          <w:sz w:val="24"/>
        </w:rPr>
      </w:pPr>
      <w:bookmarkStart w:id="16" w:name="_Toc99955871"/>
      <w:r>
        <w:rPr>
          <w:rFonts w:hint="eastAsia" w:ascii="宋体" w:hAnsi="宋体" w:eastAsia="宋体" w:cs="宋体"/>
          <w:sz w:val="24"/>
          <w:szCs w:val="32"/>
        </w:rPr>
        <w:t>（2）黄精现代</w:t>
      </w:r>
      <w:bookmarkEnd w:id="16"/>
      <w:r>
        <w:rPr>
          <w:rFonts w:hint="eastAsia" w:ascii="宋体" w:hAnsi="宋体" w:eastAsia="宋体" w:cs="宋体"/>
          <w:sz w:val="24"/>
          <w:szCs w:val="32"/>
        </w:rPr>
        <w:t>初加工及饮片、食品的主要炮制方法</w:t>
      </w:r>
    </w:p>
    <w:p w14:paraId="0E6A0705">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2020版《中国药典》记载黄精炮制品为酒黄精，但是各省市均有自己的食品产品及食品生产工艺、炮制规范。主要见表</w:t>
      </w:r>
      <w:r>
        <w:rPr>
          <w:rFonts w:ascii="Times New Roman" w:hAnsi="Times New Roman" w:eastAsia="宋体" w:cs="Times New Roman"/>
          <w:sz w:val="24"/>
          <w:szCs w:val="24"/>
        </w:rPr>
        <w:t>3</w:t>
      </w:r>
      <w:r>
        <w:rPr>
          <w:rFonts w:hint="eastAsia" w:ascii="Times New Roman" w:hAnsi="Times New Roman" w:eastAsia="宋体" w:cs="Times New Roman"/>
          <w:sz w:val="24"/>
          <w:szCs w:val="24"/>
        </w:rPr>
        <w:t>。</w:t>
      </w:r>
    </w:p>
    <w:p w14:paraId="450A3C2E">
      <w:pPr>
        <w:spacing w:line="360" w:lineRule="auto"/>
        <w:ind w:firstLine="480" w:firstLineChars="200"/>
        <w:jc w:val="center"/>
        <w:rPr>
          <w:rFonts w:ascii="Times New Roman" w:hAnsi="Times New Roman" w:eastAsia="宋体" w:cs="Times New Roman"/>
          <w:sz w:val="24"/>
        </w:rPr>
      </w:pPr>
      <w:r>
        <w:rPr>
          <w:rFonts w:hint="eastAsia" w:ascii="Times New Roman" w:hAnsi="Times New Roman" w:eastAsia="宋体" w:cs="Times New Roman"/>
          <w:sz w:val="24"/>
        </w:rPr>
        <w:t>表</w:t>
      </w:r>
      <w:r>
        <w:rPr>
          <w:rFonts w:ascii="Times New Roman" w:hAnsi="Times New Roman" w:eastAsia="宋体" w:cs="Times New Roman"/>
          <w:sz w:val="24"/>
        </w:rPr>
        <w:t xml:space="preserve">3 </w:t>
      </w:r>
      <w:r>
        <w:rPr>
          <w:rFonts w:hint="eastAsia" w:ascii="Times New Roman" w:hAnsi="Times New Roman" w:eastAsia="宋体" w:cs="Times New Roman"/>
          <w:sz w:val="24"/>
        </w:rPr>
        <w:t>黄精现代炮制方法</w:t>
      </w:r>
    </w:p>
    <w:p w14:paraId="676F9F67">
      <w:pPr>
        <w:spacing w:line="360" w:lineRule="auto"/>
        <w:ind w:firstLine="480" w:firstLineChars="200"/>
        <w:jc w:val="center"/>
        <w:rPr>
          <w:rFonts w:ascii="Times New Roman" w:hAnsi="Times New Roman" w:eastAsia="宋体" w:cs="Times New Roman"/>
          <w:sz w:val="24"/>
        </w:rPr>
      </w:pPr>
      <w:r>
        <w:rPr>
          <w:rFonts w:ascii="Times New Roman" w:hAnsi="Times New Roman" w:eastAsia="宋体" w:cs="Times New Roman"/>
          <w:sz w:val="24"/>
        </w:rPr>
        <w:t xml:space="preserve">Tab.3 The modern processing method of </w:t>
      </w:r>
      <w:r>
        <w:rPr>
          <w:rFonts w:ascii="Times New Roman" w:hAnsi="Times New Roman" w:eastAsia="宋体" w:cs="Times New Roman"/>
          <w:i/>
          <w:iCs/>
          <w:sz w:val="24"/>
        </w:rPr>
        <w:t>Polygonatum</w:t>
      </w:r>
    </w:p>
    <w:tbl>
      <w:tblPr>
        <w:tblStyle w:val="27"/>
        <w:tblW w:w="4999" w:type="pct"/>
        <w:jc w:val="center"/>
        <w:tblBorders>
          <w:top w:val="single" w:color="000000" w:sz="12" w:space="0"/>
          <w:left w:val="none" w:color="auto" w:sz="4" w:space="0"/>
          <w:bottom w:val="single" w:color="000000" w:sz="12" w:space="0"/>
          <w:right w:val="none" w:color="auto" w:sz="4" w:space="0"/>
          <w:insideH w:val="none" w:color="auto" w:sz="4" w:space="0"/>
          <w:insideV w:val="none" w:color="auto" w:sz="4" w:space="0"/>
        </w:tblBorders>
        <w:tblLayout w:type="autofit"/>
        <w:tblCellMar>
          <w:top w:w="0" w:type="dxa"/>
          <w:left w:w="108" w:type="dxa"/>
          <w:bottom w:w="0" w:type="dxa"/>
          <w:right w:w="108" w:type="dxa"/>
        </w:tblCellMar>
      </w:tblPr>
      <w:tblGrid>
        <w:gridCol w:w="1633"/>
        <w:gridCol w:w="5131"/>
        <w:gridCol w:w="1756"/>
      </w:tblGrid>
      <w:tr w14:paraId="39A457AB">
        <w:tblPrEx>
          <w:tblBorders>
            <w:top w:val="single" w:color="000000" w:sz="12" w:space="0"/>
            <w:left w:val="none" w:color="auto" w:sz="4" w:space="0"/>
            <w:bottom w:val="single" w:color="000000" w:sz="12" w:space="0"/>
            <w:right w:val="none" w:color="auto" w:sz="4" w:space="0"/>
            <w:insideH w:val="none" w:color="auto" w:sz="4" w:space="0"/>
            <w:insideV w:val="none" w:color="auto" w:sz="4" w:space="0"/>
          </w:tblBorders>
          <w:tblCellMar>
            <w:top w:w="0" w:type="dxa"/>
            <w:left w:w="108" w:type="dxa"/>
            <w:bottom w:w="0" w:type="dxa"/>
            <w:right w:w="108" w:type="dxa"/>
          </w:tblCellMar>
        </w:tblPrEx>
        <w:trPr>
          <w:jc w:val="center"/>
        </w:trPr>
        <w:tc>
          <w:tcPr>
            <w:tcW w:w="958" w:type="pct"/>
            <w:tcBorders>
              <w:top w:val="single" w:color="000000" w:sz="12" w:space="0"/>
              <w:left w:val="nil"/>
              <w:bottom w:val="single" w:color="000000" w:sz="8" w:space="0"/>
              <w:right w:val="nil"/>
            </w:tcBorders>
            <w:shd w:val="clear" w:color="auto" w:fill="auto"/>
            <w:vAlign w:val="center"/>
          </w:tcPr>
          <w:p w14:paraId="40F9CB46">
            <w:pPr>
              <w:spacing w:line="360" w:lineRule="auto"/>
              <w:jc w:val="center"/>
              <w:rPr>
                <w:rFonts w:ascii="Times New Roman" w:hAnsi="Times New Roman" w:eastAsia="宋体" w:cs="Times New Roman"/>
                <w:szCs w:val="18"/>
              </w:rPr>
            </w:pPr>
            <w:r>
              <w:rPr>
                <w:rFonts w:hint="eastAsia" w:ascii="Times New Roman" w:hAnsi="Times New Roman" w:eastAsia="宋体" w:cs="Times New Roman"/>
                <w:szCs w:val="18"/>
              </w:rPr>
              <w:t>炮制方法</w:t>
            </w:r>
          </w:p>
        </w:tc>
        <w:tc>
          <w:tcPr>
            <w:tcW w:w="3010" w:type="pct"/>
            <w:tcBorders>
              <w:top w:val="single" w:color="000000" w:sz="12" w:space="0"/>
              <w:left w:val="nil"/>
              <w:bottom w:val="single" w:color="000000" w:sz="8" w:space="0"/>
              <w:right w:val="nil"/>
            </w:tcBorders>
            <w:shd w:val="clear" w:color="auto" w:fill="auto"/>
            <w:vAlign w:val="center"/>
          </w:tcPr>
          <w:p w14:paraId="09928D53">
            <w:pPr>
              <w:spacing w:line="360" w:lineRule="auto"/>
              <w:jc w:val="center"/>
              <w:rPr>
                <w:rFonts w:ascii="Times New Roman" w:hAnsi="Times New Roman" w:eastAsia="宋体" w:cs="Times New Roman"/>
                <w:szCs w:val="18"/>
              </w:rPr>
            </w:pPr>
            <w:r>
              <w:rPr>
                <w:rFonts w:hint="eastAsia" w:ascii="Times New Roman" w:hAnsi="Times New Roman" w:eastAsia="宋体" w:cs="Times New Roman"/>
                <w:szCs w:val="18"/>
              </w:rPr>
              <w:t>炮制工艺</w:t>
            </w:r>
          </w:p>
        </w:tc>
        <w:tc>
          <w:tcPr>
            <w:tcW w:w="1030" w:type="pct"/>
            <w:tcBorders>
              <w:top w:val="single" w:color="000000" w:sz="12" w:space="0"/>
              <w:left w:val="nil"/>
              <w:bottom w:val="single" w:color="000000" w:sz="8" w:space="0"/>
              <w:right w:val="nil"/>
            </w:tcBorders>
            <w:shd w:val="clear" w:color="auto" w:fill="auto"/>
            <w:vAlign w:val="center"/>
          </w:tcPr>
          <w:p w14:paraId="05EE448F">
            <w:pPr>
              <w:spacing w:line="360" w:lineRule="auto"/>
              <w:jc w:val="center"/>
              <w:rPr>
                <w:rFonts w:ascii="Times New Roman" w:hAnsi="Times New Roman" w:eastAsia="宋体" w:cs="Times New Roman"/>
                <w:szCs w:val="18"/>
              </w:rPr>
            </w:pPr>
            <w:r>
              <w:rPr>
                <w:rFonts w:hint="eastAsia" w:ascii="Times New Roman" w:hAnsi="Times New Roman" w:eastAsia="宋体" w:cs="Times New Roman"/>
                <w:szCs w:val="18"/>
              </w:rPr>
              <w:t>出处</w:t>
            </w:r>
          </w:p>
        </w:tc>
      </w:tr>
      <w:tr w14:paraId="4C4E568B">
        <w:tblPrEx>
          <w:tblBorders>
            <w:top w:val="single" w:color="000000" w:sz="12" w:space="0"/>
            <w:left w:val="none" w:color="auto" w:sz="4" w:space="0"/>
            <w:bottom w:val="single" w:color="000000" w:sz="12" w:space="0"/>
            <w:right w:val="none" w:color="auto" w:sz="4" w:space="0"/>
            <w:insideH w:val="none" w:color="auto" w:sz="4" w:space="0"/>
            <w:insideV w:val="none" w:color="auto" w:sz="4" w:space="0"/>
          </w:tblBorders>
          <w:tblCellMar>
            <w:top w:w="0" w:type="dxa"/>
            <w:left w:w="108" w:type="dxa"/>
            <w:bottom w:w="0" w:type="dxa"/>
            <w:right w:w="108" w:type="dxa"/>
          </w:tblCellMar>
        </w:tblPrEx>
        <w:trPr>
          <w:trHeight w:val="662" w:hRule="atLeast"/>
          <w:jc w:val="center"/>
        </w:trPr>
        <w:tc>
          <w:tcPr>
            <w:tcW w:w="958" w:type="pct"/>
            <w:tcBorders>
              <w:top w:val="single" w:color="000000" w:sz="8" w:space="0"/>
            </w:tcBorders>
            <w:shd w:val="clear" w:color="auto" w:fill="auto"/>
            <w:vAlign w:val="center"/>
          </w:tcPr>
          <w:p w14:paraId="1FADA3E6">
            <w:pPr>
              <w:spacing w:line="360" w:lineRule="auto"/>
              <w:jc w:val="center"/>
              <w:rPr>
                <w:rFonts w:ascii="Times New Roman" w:hAnsi="Times New Roman" w:eastAsia="宋体" w:cs="Times New Roman"/>
                <w:szCs w:val="18"/>
              </w:rPr>
            </w:pPr>
            <w:r>
              <w:rPr>
                <w:rFonts w:hint="eastAsia" w:ascii="Times New Roman" w:hAnsi="Times New Roman" w:eastAsia="宋体" w:cs="Times New Roman"/>
                <w:szCs w:val="18"/>
              </w:rPr>
              <w:t>制黄精</w:t>
            </w:r>
          </w:p>
        </w:tc>
        <w:tc>
          <w:tcPr>
            <w:tcW w:w="3010" w:type="pct"/>
            <w:tcBorders>
              <w:top w:val="single" w:color="000000" w:sz="8" w:space="0"/>
            </w:tcBorders>
            <w:shd w:val="clear" w:color="auto" w:fill="auto"/>
            <w:vAlign w:val="center"/>
          </w:tcPr>
          <w:p w14:paraId="6FD25E28">
            <w:pPr>
              <w:spacing w:line="360" w:lineRule="auto"/>
              <w:jc w:val="center"/>
              <w:rPr>
                <w:rFonts w:ascii="Times New Roman" w:hAnsi="Times New Roman" w:eastAsia="宋体" w:cs="Times New Roman"/>
                <w:szCs w:val="18"/>
              </w:rPr>
            </w:pPr>
            <w:r>
              <w:rPr>
                <w:rFonts w:hint="eastAsia" w:ascii="Times New Roman" w:hAnsi="Times New Roman" w:eastAsia="宋体" w:cs="Times New Roman"/>
                <w:szCs w:val="18"/>
              </w:rPr>
              <w:t>取净黄精，蒸制，干燥，再用熟地膏拌匀，取出，干燥。</w:t>
            </w:r>
          </w:p>
        </w:tc>
        <w:tc>
          <w:tcPr>
            <w:tcW w:w="1030" w:type="pct"/>
            <w:tcBorders>
              <w:top w:val="single" w:color="000000" w:sz="8" w:space="0"/>
            </w:tcBorders>
            <w:shd w:val="clear" w:color="auto" w:fill="auto"/>
            <w:vAlign w:val="center"/>
          </w:tcPr>
          <w:p w14:paraId="2C26DC38">
            <w:pPr>
              <w:spacing w:line="360" w:lineRule="auto"/>
              <w:jc w:val="center"/>
              <w:rPr>
                <w:rFonts w:ascii="Times New Roman" w:hAnsi="Times New Roman" w:eastAsia="宋体" w:cs="Times New Roman"/>
                <w:szCs w:val="18"/>
              </w:rPr>
            </w:pPr>
            <w:bookmarkStart w:id="17" w:name="_Hlk93774020"/>
            <w:r>
              <w:rPr>
                <w:rFonts w:ascii="Times New Roman" w:hAnsi="Times New Roman" w:eastAsia="宋体" w:cs="Times New Roman"/>
                <w:szCs w:val="18"/>
              </w:rPr>
              <w:t>[43]</w:t>
            </w:r>
            <w:bookmarkEnd w:id="17"/>
            <w:r>
              <w:rPr>
                <w:rFonts w:hint="eastAsia" w:ascii="Times New Roman" w:hAnsi="Times New Roman" w:eastAsia="宋体" w:cs="Times New Roman"/>
                <w:szCs w:val="18"/>
              </w:rPr>
              <w:t>、</w:t>
            </w:r>
            <w:r>
              <w:rPr>
                <w:rFonts w:ascii="Times New Roman" w:hAnsi="Times New Roman" w:eastAsia="宋体" w:cs="Times New Roman"/>
                <w:szCs w:val="18"/>
              </w:rPr>
              <w:t>[44]</w:t>
            </w:r>
            <w:r>
              <w:rPr>
                <w:rFonts w:hint="eastAsia" w:ascii="Times New Roman" w:hAnsi="Times New Roman" w:eastAsia="宋体" w:cs="Times New Roman"/>
                <w:szCs w:val="18"/>
              </w:rPr>
              <w:t>、</w:t>
            </w:r>
            <w:r>
              <w:rPr>
                <w:rFonts w:ascii="Times New Roman" w:hAnsi="Times New Roman" w:eastAsia="宋体" w:cs="Times New Roman"/>
                <w:szCs w:val="18"/>
              </w:rPr>
              <w:t>[45]</w:t>
            </w:r>
          </w:p>
        </w:tc>
      </w:tr>
      <w:tr w14:paraId="364DA38D">
        <w:tblPrEx>
          <w:tblBorders>
            <w:top w:val="single" w:color="000000" w:sz="12" w:space="0"/>
            <w:left w:val="none" w:color="auto" w:sz="4" w:space="0"/>
            <w:bottom w:val="single" w:color="000000" w:sz="12" w:space="0"/>
            <w:right w:val="none" w:color="auto" w:sz="4" w:space="0"/>
            <w:insideH w:val="none" w:color="auto" w:sz="4" w:space="0"/>
            <w:insideV w:val="none" w:color="auto" w:sz="4" w:space="0"/>
          </w:tblBorders>
          <w:tblCellMar>
            <w:top w:w="0" w:type="dxa"/>
            <w:left w:w="108" w:type="dxa"/>
            <w:bottom w:w="0" w:type="dxa"/>
            <w:right w:w="108" w:type="dxa"/>
          </w:tblCellMar>
        </w:tblPrEx>
        <w:trPr>
          <w:trHeight w:val="480" w:hRule="atLeast"/>
          <w:jc w:val="center"/>
        </w:trPr>
        <w:tc>
          <w:tcPr>
            <w:tcW w:w="958" w:type="pct"/>
            <w:shd w:val="clear" w:color="auto" w:fill="auto"/>
            <w:vAlign w:val="center"/>
          </w:tcPr>
          <w:p w14:paraId="708F751E">
            <w:pPr>
              <w:spacing w:line="360" w:lineRule="auto"/>
              <w:jc w:val="center"/>
              <w:rPr>
                <w:rFonts w:ascii="Times New Roman" w:hAnsi="Times New Roman" w:eastAsia="宋体" w:cs="Times New Roman"/>
                <w:szCs w:val="18"/>
              </w:rPr>
            </w:pPr>
            <w:r>
              <w:rPr>
                <w:rFonts w:hint="eastAsia" w:ascii="Times New Roman" w:hAnsi="Times New Roman" w:eastAsia="宋体" w:cs="Times New Roman"/>
                <w:szCs w:val="18"/>
              </w:rPr>
              <w:t>蒸黄精</w:t>
            </w:r>
          </w:p>
        </w:tc>
        <w:tc>
          <w:tcPr>
            <w:tcW w:w="3010" w:type="pct"/>
            <w:shd w:val="clear" w:color="auto" w:fill="auto"/>
            <w:vAlign w:val="center"/>
          </w:tcPr>
          <w:p w14:paraId="1AFF0697">
            <w:pPr>
              <w:spacing w:line="360" w:lineRule="auto"/>
              <w:jc w:val="center"/>
              <w:rPr>
                <w:rFonts w:ascii="Times New Roman" w:hAnsi="Times New Roman" w:eastAsia="宋体" w:cs="Times New Roman"/>
                <w:szCs w:val="18"/>
              </w:rPr>
            </w:pPr>
            <w:r>
              <w:rPr>
                <w:rFonts w:hint="eastAsia" w:ascii="Times New Roman" w:hAnsi="Times New Roman" w:eastAsia="宋体" w:cs="Times New Roman"/>
                <w:szCs w:val="18"/>
              </w:rPr>
              <w:t>取原药材，洗净，蒸制，滋润时，切厚片，干燥。</w:t>
            </w:r>
          </w:p>
        </w:tc>
        <w:tc>
          <w:tcPr>
            <w:tcW w:w="1030" w:type="pct"/>
            <w:shd w:val="clear" w:color="auto" w:fill="auto"/>
            <w:vAlign w:val="center"/>
          </w:tcPr>
          <w:p w14:paraId="04AC0D40">
            <w:pPr>
              <w:spacing w:line="360" w:lineRule="auto"/>
              <w:jc w:val="center"/>
              <w:rPr>
                <w:rFonts w:ascii="Times New Roman" w:hAnsi="Times New Roman" w:eastAsia="宋体" w:cs="Times New Roman"/>
                <w:szCs w:val="18"/>
              </w:rPr>
            </w:pPr>
            <w:bookmarkStart w:id="18" w:name="_Hlk93774035"/>
            <w:r>
              <w:rPr>
                <w:rFonts w:ascii="Times New Roman" w:hAnsi="Times New Roman" w:eastAsia="宋体" w:cs="Times New Roman"/>
                <w:szCs w:val="18"/>
              </w:rPr>
              <w:t>[47]</w:t>
            </w:r>
            <w:bookmarkEnd w:id="18"/>
            <w:r>
              <w:rPr>
                <w:rFonts w:hint="eastAsia" w:ascii="Times New Roman" w:hAnsi="Times New Roman" w:eastAsia="宋体" w:cs="Times New Roman"/>
                <w:szCs w:val="18"/>
              </w:rPr>
              <w:t>、</w:t>
            </w:r>
            <w:r>
              <w:rPr>
                <w:rFonts w:ascii="Times New Roman" w:hAnsi="Times New Roman" w:eastAsia="宋体" w:cs="Times New Roman"/>
                <w:szCs w:val="18"/>
              </w:rPr>
              <w:t>[48]</w:t>
            </w:r>
            <w:r>
              <w:rPr>
                <w:rFonts w:hint="eastAsia" w:ascii="Times New Roman" w:hAnsi="Times New Roman" w:eastAsia="宋体" w:cs="Times New Roman"/>
                <w:szCs w:val="18"/>
              </w:rPr>
              <w:t>、</w:t>
            </w:r>
            <w:r>
              <w:rPr>
                <w:rFonts w:ascii="Times New Roman" w:hAnsi="Times New Roman" w:eastAsia="宋体" w:cs="Times New Roman"/>
                <w:szCs w:val="18"/>
              </w:rPr>
              <w:t>[49]</w:t>
            </w:r>
            <w:r>
              <w:rPr>
                <w:rFonts w:hint="eastAsia" w:ascii="Times New Roman" w:hAnsi="Times New Roman" w:eastAsia="宋体" w:cs="Times New Roman"/>
                <w:szCs w:val="18"/>
              </w:rPr>
              <w:t>、</w:t>
            </w:r>
          </w:p>
          <w:p w14:paraId="7466B4CA">
            <w:pPr>
              <w:spacing w:line="360" w:lineRule="auto"/>
              <w:jc w:val="center"/>
              <w:rPr>
                <w:rFonts w:ascii="Times New Roman" w:hAnsi="Times New Roman" w:eastAsia="宋体" w:cs="Times New Roman"/>
                <w:szCs w:val="18"/>
              </w:rPr>
            </w:pPr>
            <w:r>
              <w:rPr>
                <w:rFonts w:ascii="Times New Roman" w:hAnsi="Times New Roman" w:eastAsia="宋体" w:cs="Times New Roman"/>
                <w:szCs w:val="18"/>
              </w:rPr>
              <w:t>[50]</w:t>
            </w:r>
            <w:r>
              <w:rPr>
                <w:rFonts w:hint="eastAsia" w:ascii="Times New Roman" w:hAnsi="Times New Roman" w:eastAsia="宋体" w:cs="Times New Roman"/>
                <w:szCs w:val="18"/>
              </w:rPr>
              <w:t>、</w:t>
            </w:r>
            <w:r>
              <w:rPr>
                <w:rFonts w:ascii="Times New Roman" w:hAnsi="Times New Roman" w:eastAsia="宋体" w:cs="Times New Roman"/>
                <w:szCs w:val="18"/>
              </w:rPr>
              <w:t>[51]</w:t>
            </w:r>
            <w:r>
              <w:rPr>
                <w:rFonts w:hint="eastAsia" w:ascii="Times New Roman" w:hAnsi="Times New Roman" w:eastAsia="宋体" w:cs="Times New Roman"/>
                <w:szCs w:val="18"/>
              </w:rPr>
              <w:t>、</w:t>
            </w:r>
            <w:r>
              <w:rPr>
                <w:rFonts w:ascii="Times New Roman" w:hAnsi="Times New Roman" w:eastAsia="宋体" w:cs="Times New Roman"/>
                <w:szCs w:val="18"/>
              </w:rPr>
              <w:t>[52]</w:t>
            </w:r>
          </w:p>
        </w:tc>
      </w:tr>
      <w:tr w14:paraId="34DF4922">
        <w:tblPrEx>
          <w:tblBorders>
            <w:top w:val="single" w:color="000000" w:sz="12" w:space="0"/>
            <w:left w:val="none" w:color="auto" w:sz="4" w:space="0"/>
            <w:bottom w:val="single" w:color="000000" w:sz="12" w:space="0"/>
            <w:right w:val="none" w:color="auto" w:sz="4" w:space="0"/>
            <w:insideH w:val="none" w:color="auto" w:sz="4" w:space="0"/>
            <w:insideV w:val="none" w:color="auto" w:sz="4" w:space="0"/>
          </w:tblBorders>
          <w:tblCellMar>
            <w:top w:w="0" w:type="dxa"/>
            <w:left w:w="108" w:type="dxa"/>
            <w:bottom w:w="0" w:type="dxa"/>
            <w:right w:w="108" w:type="dxa"/>
          </w:tblCellMar>
        </w:tblPrEx>
        <w:trPr>
          <w:trHeight w:val="740" w:hRule="atLeast"/>
          <w:jc w:val="center"/>
        </w:trPr>
        <w:tc>
          <w:tcPr>
            <w:tcW w:w="958" w:type="pct"/>
            <w:shd w:val="clear" w:color="auto" w:fill="auto"/>
            <w:vAlign w:val="center"/>
          </w:tcPr>
          <w:p w14:paraId="5352A8F2">
            <w:pPr>
              <w:spacing w:line="360" w:lineRule="auto"/>
              <w:jc w:val="center"/>
              <w:rPr>
                <w:rFonts w:ascii="Times New Roman" w:hAnsi="Times New Roman" w:eastAsia="宋体" w:cs="Times New Roman"/>
                <w:szCs w:val="18"/>
              </w:rPr>
            </w:pPr>
            <w:r>
              <w:rPr>
                <w:rFonts w:hint="eastAsia" w:ascii="Times New Roman" w:hAnsi="Times New Roman" w:eastAsia="宋体" w:cs="Times New Roman"/>
                <w:szCs w:val="18"/>
              </w:rPr>
              <w:t>净黄精</w:t>
            </w:r>
          </w:p>
        </w:tc>
        <w:tc>
          <w:tcPr>
            <w:tcW w:w="3010" w:type="pct"/>
            <w:shd w:val="clear" w:color="auto" w:fill="auto"/>
            <w:vAlign w:val="center"/>
          </w:tcPr>
          <w:p w14:paraId="0473DFC5">
            <w:pPr>
              <w:spacing w:line="360" w:lineRule="auto"/>
              <w:jc w:val="center"/>
              <w:rPr>
                <w:rFonts w:ascii="Times New Roman" w:hAnsi="Times New Roman" w:eastAsia="宋体" w:cs="Times New Roman"/>
                <w:szCs w:val="18"/>
              </w:rPr>
            </w:pPr>
            <w:r>
              <w:rPr>
                <w:rFonts w:hint="eastAsia" w:ascii="Times New Roman" w:hAnsi="Times New Roman" w:eastAsia="宋体" w:cs="Times New Roman"/>
                <w:szCs w:val="18"/>
              </w:rPr>
              <w:t>除净杂质，润透，切厚片，晒干</w:t>
            </w:r>
          </w:p>
        </w:tc>
        <w:tc>
          <w:tcPr>
            <w:tcW w:w="1030" w:type="pct"/>
            <w:shd w:val="clear" w:color="auto" w:fill="auto"/>
            <w:vAlign w:val="center"/>
          </w:tcPr>
          <w:p w14:paraId="400655E2">
            <w:pPr>
              <w:spacing w:line="360" w:lineRule="auto"/>
              <w:jc w:val="center"/>
              <w:rPr>
                <w:rFonts w:ascii="Times New Roman" w:hAnsi="Times New Roman" w:eastAsia="宋体" w:cs="Times New Roman"/>
                <w:szCs w:val="18"/>
              </w:rPr>
            </w:pPr>
            <w:r>
              <w:rPr>
                <w:rFonts w:ascii="Times New Roman" w:hAnsi="Times New Roman" w:eastAsia="宋体" w:cs="Times New Roman"/>
                <w:szCs w:val="18"/>
              </w:rPr>
              <w:t>[53]</w:t>
            </w:r>
          </w:p>
        </w:tc>
      </w:tr>
      <w:tr w14:paraId="0F0171BF">
        <w:tblPrEx>
          <w:tblBorders>
            <w:top w:val="single" w:color="000000" w:sz="12" w:space="0"/>
            <w:left w:val="none" w:color="auto" w:sz="4" w:space="0"/>
            <w:bottom w:val="single" w:color="000000" w:sz="12" w:space="0"/>
            <w:right w:val="none" w:color="auto" w:sz="4" w:space="0"/>
            <w:insideH w:val="none" w:color="auto" w:sz="4" w:space="0"/>
            <w:insideV w:val="none" w:color="auto" w:sz="4" w:space="0"/>
          </w:tblBorders>
          <w:tblCellMar>
            <w:top w:w="0" w:type="dxa"/>
            <w:left w:w="108" w:type="dxa"/>
            <w:bottom w:w="0" w:type="dxa"/>
            <w:right w:w="108" w:type="dxa"/>
          </w:tblCellMar>
        </w:tblPrEx>
        <w:trPr>
          <w:trHeight w:val="388" w:hRule="atLeast"/>
          <w:jc w:val="center"/>
        </w:trPr>
        <w:tc>
          <w:tcPr>
            <w:tcW w:w="958" w:type="pct"/>
            <w:shd w:val="clear" w:color="auto" w:fill="auto"/>
            <w:vAlign w:val="center"/>
          </w:tcPr>
          <w:p w14:paraId="4C17300D">
            <w:pPr>
              <w:spacing w:line="360" w:lineRule="auto"/>
              <w:jc w:val="center"/>
              <w:rPr>
                <w:rFonts w:ascii="Times New Roman" w:hAnsi="Times New Roman" w:eastAsia="宋体" w:cs="Times New Roman"/>
                <w:szCs w:val="18"/>
              </w:rPr>
            </w:pPr>
            <w:r>
              <w:rPr>
                <w:rFonts w:hint="eastAsia" w:ascii="Times New Roman" w:hAnsi="Times New Roman" w:eastAsia="宋体" w:cs="Times New Roman"/>
                <w:szCs w:val="18"/>
              </w:rPr>
              <w:t>酒黄精</w:t>
            </w:r>
          </w:p>
        </w:tc>
        <w:tc>
          <w:tcPr>
            <w:tcW w:w="3010" w:type="pct"/>
            <w:shd w:val="clear" w:color="auto" w:fill="auto"/>
            <w:vAlign w:val="center"/>
          </w:tcPr>
          <w:p w14:paraId="304B7EE4">
            <w:pPr>
              <w:spacing w:line="360" w:lineRule="auto"/>
              <w:jc w:val="center"/>
              <w:rPr>
                <w:rFonts w:ascii="Times New Roman" w:hAnsi="Times New Roman" w:eastAsia="宋体" w:cs="Times New Roman"/>
                <w:szCs w:val="18"/>
              </w:rPr>
            </w:pPr>
            <w:r>
              <w:rPr>
                <w:rFonts w:hint="eastAsia" w:ascii="Times New Roman" w:hAnsi="Times New Roman" w:eastAsia="宋体" w:cs="Times New Roman"/>
                <w:szCs w:val="18"/>
              </w:rPr>
              <w:t>取净黄精，置适宜容器，加入黄酒，炖透或蒸透，稍晾，切厚片，干燥。</w:t>
            </w:r>
          </w:p>
        </w:tc>
        <w:tc>
          <w:tcPr>
            <w:tcW w:w="1030" w:type="pct"/>
            <w:shd w:val="clear" w:color="auto" w:fill="auto"/>
            <w:vAlign w:val="center"/>
          </w:tcPr>
          <w:p w14:paraId="5F6177B6">
            <w:pPr>
              <w:spacing w:line="360" w:lineRule="auto"/>
              <w:jc w:val="center"/>
              <w:rPr>
                <w:rFonts w:ascii="Times New Roman" w:hAnsi="Times New Roman" w:eastAsia="宋体" w:cs="Times New Roman"/>
                <w:szCs w:val="18"/>
              </w:rPr>
            </w:pPr>
            <w:bookmarkStart w:id="19" w:name="_Hlk93774062"/>
            <w:r>
              <w:rPr>
                <w:rFonts w:ascii="Times New Roman" w:hAnsi="Times New Roman" w:eastAsia="宋体" w:cs="Times New Roman"/>
                <w:szCs w:val="18"/>
              </w:rPr>
              <w:t>[48]</w:t>
            </w:r>
            <w:bookmarkEnd w:id="19"/>
            <w:r>
              <w:rPr>
                <w:rFonts w:hint="eastAsia" w:ascii="Times New Roman" w:hAnsi="Times New Roman" w:eastAsia="宋体" w:cs="Times New Roman"/>
                <w:szCs w:val="18"/>
              </w:rPr>
              <w:t>、</w:t>
            </w:r>
            <w:r>
              <w:rPr>
                <w:rFonts w:ascii="Times New Roman" w:hAnsi="Times New Roman" w:eastAsia="宋体" w:cs="Times New Roman"/>
                <w:szCs w:val="18"/>
              </w:rPr>
              <w:t>[49]</w:t>
            </w:r>
            <w:r>
              <w:rPr>
                <w:rFonts w:hint="eastAsia" w:ascii="Times New Roman" w:hAnsi="Times New Roman" w:eastAsia="宋体" w:cs="Times New Roman"/>
                <w:szCs w:val="18"/>
              </w:rPr>
              <w:t>、</w:t>
            </w:r>
            <w:r>
              <w:rPr>
                <w:rFonts w:ascii="Times New Roman" w:hAnsi="Times New Roman" w:eastAsia="宋体" w:cs="Times New Roman"/>
                <w:szCs w:val="18"/>
              </w:rPr>
              <w:t>[51]</w:t>
            </w:r>
            <w:r>
              <w:rPr>
                <w:rFonts w:hint="eastAsia" w:ascii="Times New Roman" w:hAnsi="Times New Roman" w:eastAsia="宋体" w:cs="Times New Roman"/>
                <w:szCs w:val="18"/>
              </w:rPr>
              <w:t>、</w:t>
            </w:r>
            <w:r>
              <w:rPr>
                <w:rFonts w:ascii="Times New Roman" w:hAnsi="Times New Roman" w:eastAsia="宋体" w:cs="Times New Roman"/>
                <w:szCs w:val="18"/>
              </w:rPr>
              <w:t>[53]</w:t>
            </w:r>
          </w:p>
        </w:tc>
      </w:tr>
      <w:tr w14:paraId="3C670F4F">
        <w:tblPrEx>
          <w:tblBorders>
            <w:top w:val="single" w:color="000000" w:sz="12" w:space="0"/>
            <w:left w:val="none" w:color="auto" w:sz="4" w:space="0"/>
            <w:bottom w:val="single" w:color="000000" w:sz="12" w:space="0"/>
            <w:right w:val="none" w:color="auto" w:sz="4" w:space="0"/>
            <w:insideH w:val="none" w:color="auto" w:sz="4" w:space="0"/>
            <w:insideV w:val="none" w:color="auto" w:sz="4" w:space="0"/>
          </w:tblBorders>
          <w:tblCellMar>
            <w:top w:w="0" w:type="dxa"/>
            <w:left w:w="108" w:type="dxa"/>
            <w:bottom w:w="0" w:type="dxa"/>
            <w:right w:w="108" w:type="dxa"/>
          </w:tblCellMar>
        </w:tblPrEx>
        <w:trPr>
          <w:trHeight w:val="273" w:hRule="atLeast"/>
          <w:jc w:val="center"/>
        </w:trPr>
        <w:tc>
          <w:tcPr>
            <w:tcW w:w="958" w:type="pct"/>
            <w:shd w:val="clear" w:color="auto" w:fill="auto"/>
            <w:vAlign w:val="center"/>
          </w:tcPr>
          <w:p w14:paraId="027D79C0">
            <w:pPr>
              <w:spacing w:line="360" w:lineRule="auto"/>
              <w:jc w:val="center"/>
              <w:rPr>
                <w:rFonts w:ascii="Times New Roman" w:hAnsi="Times New Roman" w:eastAsia="宋体" w:cs="Times New Roman"/>
                <w:szCs w:val="18"/>
              </w:rPr>
            </w:pPr>
            <w:r>
              <w:rPr>
                <w:rFonts w:hint="eastAsia" w:ascii="Times New Roman" w:hAnsi="Times New Roman" w:eastAsia="宋体" w:cs="Times New Roman"/>
                <w:szCs w:val="18"/>
              </w:rPr>
              <w:t>炆黄精</w:t>
            </w:r>
          </w:p>
        </w:tc>
        <w:tc>
          <w:tcPr>
            <w:tcW w:w="3010" w:type="pct"/>
            <w:shd w:val="clear" w:color="auto" w:fill="auto"/>
            <w:vAlign w:val="center"/>
          </w:tcPr>
          <w:p w14:paraId="1554B120">
            <w:pPr>
              <w:spacing w:line="360" w:lineRule="auto"/>
              <w:jc w:val="center"/>
              <w:rPr>
                <w:rFonts w:ascii="Times New Roman" w:hAnsi="Times New Roman" w:eastAsia="宋体" w:cs="Times New Roman"/>
                <w:szCs w:val="18"/>
              </w:rPr>
            </w:pPr>
            <w:r>
              <w:rPr>
                <w:rFonts w:hint="eastAsia" w:ascii="Times New Roman" w:hAnsi="Times New Roman" w:eastAsia="宋体" w:cs="Times New Roman"/>
                <w:szCs w:val="18"/>
              </w:rPr>
              <w:t>取原药，洗净，清水漂洗，取出，沥干水，放人炆药罐内，加人温水，上盖，点燃后炆</w:t>
            </w:r>
            <w:r>
              <w:rPr>
                <w:rFonts w:ascii="Times New Roman" w:hAnsi="Times New Roman" w:eastAsia="宋体" w:cs="Times New Roman"/>
                <w:szCs w:val="18"/>
              </w:rPr>
              <w:t>1</w:t>
            </w:r>
            <w:r>
              <w:rPr>
                <w:rFonts w:hint="eastAsia" w:ascii="Times New Roman" w:hAnsi="Times New Roman" w:eastAsia="宋体" w:cs="Times New Roman"/>
                <w:szCs w:val="18"/>
              </w:rPr>
              <w:t>天，取出，干燥；用酒喷洒均匀，闷润，待吸尽后，蒸，炯一夜，至转黑色时取出，干燥至半干，切斜厚片，干燥。</w:t>
            </w:r>
          </w:p>
        </w:tc>
        <w:tc>
          <w:tcPr>
            <w:tcW w:w="1030" w:type="pct"/>
            <w:shd w:val="clear" w:color="auto" w:fill="auto"/>
            <w:vAlign w:val="center"/>
          </w:tcPr>
          <w:p w14:paraId="06977456">
            <w:pPr>
              <w:spacing w:line="360" w:lineRule="auto"/>
              <w:jc w:val="center"/>
              <w:rPr>
                <w:rFonts w:ascii="Times New Roman" w:hAnsi="Times New Roman" w:eastAsia="宋体" w:cs="Times New Roman"/>
                <w:szCs w:val="18"/>
              </w:rPr>
            </w:pPr>
            <w:r>
              <w:rPr>
                <w:rFonts w:ascii="Times New Roman" w:hAnsi="Times New Roman" w:eastAsia="宋体" w:cs="Times New Roman"/>
                <w:szCs w:val="18"/>
              </w:rPr>
              <w:t>[52]</w:t>
            </w:r>
          </w:p>
        </w:tc>
      </w:tr>
      <w:tr w14:paraId="37478F8E">
        <w:tblPrEx>
          <w:tblBorders>
            <w:top w:val="single" w:color="000000" w:sz="12" w:space="0"/>
            <w:left w:val="none" w:color="auto" w:sz="4" w:space="0"/>
            <w:bottom w:val="single" w:color="000000" w:sz="12" w:space="0"/>
            <w:right w:val="none" w:color="auto" w:sz="4" w:space="0"/>
            <w:insideH w:val="none" w:color="auto" w:sz="4" w:space="0"/>
            <w:insideV w:val="none" w:color="auto" w:sz="4" w:space="0"/>
          </w:tblBorders>
          <w:tblCellMar>
            <w:top w:w="0" w:type="dxa"/>
            <w:left w:w="108" w:type="dxa"/>
            <w:bottom w:w="0" w:type="dxa"/>
            <w:right w:w="108" w:type="dxa"/>
          </w:tblCellMar>
        </w:tblPrEx>
        <w:trPr>
          <w:jc w:val="center"/>
        </w:trPr>
        <w:tc>
          <w:tcPr>
            <w:tcW w:w="958" w:type="pct"/>
            <w:shd w:val="clear" w:color="auto" w:fill="auto"/>
            <w:vAlign w:val="center"/>
          </w:tcPr>
          <w:p w14:paraId="2F0E3C64">
            <w:pPr>
              <w:spacing w:line="360" w:lineRule="auto"/>
              <w:jc w:val="center"/>
              <w:rPr>
                <w:rFonts w:ascii="Times New Roman" w:hAnsi="Times New Roman" w:eastAsia="宋体" w:cs="Times New Roman"/>
                <w:szCs w:val="18"/>
              </w:rPr>
            </w:pPr>
            <w:r>
              <w:rPr>
                <w:rFonts w:hint="eastAsia" w:ascii="Times New Roman" w:hAnsi="Times New Roman" w:eastAsia="宋体" w:cs="Times New Roman"/>
                <w:szCs w:val="18"/>
              </w:rPr>
              <w:t>炙黄精</w:t>
            </w:r>
          </w:p>
        </w:tc>
        <w:tc>
          <w:tcPr>
            <w:tcW w:w="3010" w:type="pct"/>
            <w:shd w:val="clear" w:color="auto" w:fill="auto"/>
            <w:vAlign w:val="center"/>
          </w:tcPr>
          <w:p w14:paraId="291A8E82">
            <w:pPr>
              <w:spacing w:line="360" w:lineRule="auto"/>
              <w:jc w:val="center"/>
              <w:rPr>
                <w:rFonts w:ascii="Times New Roman" w:hAnsi="Times New Roman" w:eastAsia="宋体" w:cs="Times New Roman"/>
                <w:szCs w:val="18"/>
              </w:rPr>
            </w:pPr>
            <w:r>
              <w:rPr>
                <w:rFonts w:hint="eastAsia" w:ascii="Times New Roman" w:hAnsi="Times New Roman" w:eastAsia="宋体" w:cs="Times New Roman"/>
                <w:szCs w:val="18"/>
              </w:rPr>
              <w:t>取药材，洗净，吸润，切成片，干燥。加黑豆汁拌匀，吸尽，蒸至切面黄棕色至黄褐色，取出，置容器内，加白酒和炼蜜拌匀，吸尽，干燥，筛去碎屑，即得。</w:t>
            </w:r>
          </w:p>
        </w:tc>
        <w:tc>
          <w:tcPr>
            <w:tcW w:w="1030" w:type="pct"/>
            <w:shd w:val="clear" w:color="auto" w:fill="auto"/>
            <w:vAlign w:val="center"/>
          </w:tcPr>
          <w:p w14:paraId="157ACEF3">
            <w:pPr>
              <w:spacing w:line="360" w:lineRule="auto"/>
              <w:jc w:val="center"/>
              <w:rPr>
                <w:rFonts w:ascii="Times New Roman" w:hAnsi="Times New Roman" w:eastAsia="宋体" w:cs="Times New Roman"/>
                <w:szCs w:val="18"/>
              </w:rPr>
            </w:pPr>
            <w:bookmarkStart w:id="20" w:name="_Hlk93774194"/>
            <w:r>
              <w:rPr>
                <w:rFonts w:ascii="Times New Roman" w:hAnsi="Times New Roman" w:eastAsia="宋体" w:cs="Times New Roman"/>
                <w:szCs w:val="18"/>
              </w:rPr>
              <w:t>[54]</w:t>
            </w:r>
            <w:bookmarkEnd w:id="20"/>
          </w:p>
        </w:tc>
      </w:tr>
    </w:tbl>
    <w:p w14:paraId="6CE1166F">
      <w:pPr>
        <w:pStyle w:val="24"/>
        <w:shd w:val="clear" w:color="auto" w:fill="FFFFFF"/>
        <w:spacing w:beforeAutospacing="0" w:after="0" w:afterAutospacing="0" w:line="360" w:lineRule="auto"/>
        <w:ind w:firstLine="480" w:firstLineChars="200"/>
        <w:jc w:val="both"/>
        <w:rPr>
          <w:rFonts w:ascii="Times New Roman" w:hAnsi="Times New Roman" w:cs="Times New Roman"/>
        </w:rPr>
      </w:pPr>
      <w:r>
        <w:rPr>
          <w:rFonts w:hint="eastAsia" w:ascii="Times New Roman" w:hAnsi="Times New Roman" w:cs="Times New Roman"/>
        </w:rPr>
        <w:t>现代与古代炮制方法比对，可以发现：现代炮制方法、食品加工方法虽有差异，但主要的炮制方法有净、酒、蒸、制、切、炆等，都已经进入了机械化。</w:t>
      </w:r>
    </w:p>
    <w:p w14:paraId="0DF75EAD">
      <w:pPr>
        <w:pStyle w:val="24"/>
        <w:shd w:val="clear" w:color="auto" w:fill="FFFFFF"/>
        <w:spacing w:beforeAutospacing="0" w:after="0" w:afterAutospacing="0" w:line="360" w:lineRule="auto"/>
        <w:ind w:firstLine="480" w:firstLineChars="200"/>
        <w:jc w:val="both"/>
        <w:rPr>
          <w:rFonts w:ascii="Times New Roman" w:hAnsi="Times New Roman" w:cs="Times New Roman"/>
          <w:bCs/>
        </w:rPr>
      </w:pPr>
      <w:r>
        <w:rPr>
          <w:rFonts w:ascii="Times New Roman" w:hAnsi="Times New Roman" w:cs="Times New Roman"/>
          <w:bCs/>
        </w:rPr>
        <w:t xml:space="preserve">7.4 </w:t>
      </w:r>
      <w:r>
        <w:rPr>
          <w:rFonts w:hint="eastAsia" w:ascii="Times New Roman" w:hAnsi="Times New Roman" w:cs="Times New Roman"/>
          <w:bCs/>
        </w:rPr>
        <w:t>环境保护方面</w:t>
      </w:r>
    </w:p>
    <w:p w14:paraId="413C30C1">
      <w:pPr>
        <w:pStyle w:val="24"/>
        <w:shd w:val="clear" w:color="auto" w:fill="FFFFFF"/>
        <w:spacing w:beforeAutospacing="0" w:after="0" w:afterAutospacing="0" w:line="360" w:lineRule="auto"/>
        <w:ind w:firstLine="480" w:firstLineChars="200"/>
        <w:jc w:val="both"/>
        <w:rPr>
          <w:rFonts w:ascii="Times New Roman" w:hAnsi="Times New Roman" w:cs="Times New Roman"/>
          <w:bCs/>
        </w:rPr>
      </w:pPr>
      <w:r>
        <w:rPr>
          <w:rFonts w:ascii="Times New Roman" w:hAnsi="Times New Roman" w:cs="Times New Roman"/>
          <w:bCs/>
        </w:rPr>
        <w:t xml:space="preserve">7.4.1 </w:t>
      </w:r>
      <w:r>
        <w:rPr>
          <w:rFonts w:hint="eastAsia" w:ascii="Times New Roman" w:hAnsi="Times New Roman" w:cs="Times New Roman"/>
          <w:bCs/>
        </w:rPr>
        <w:t>林下种植的各项技术与团标规定的基础</w:t>
      </w:r>
    </w:p>
    <w:p w14:paraId="31847BA9">
      <w:pPr>
        <w:pStyle w:val="24"/>
        <w:shd w:val="clear" w:color="auto" w:fill="FFFFFF"/>
        <w:spacing w:beforeAutospacing="0" w:after="0" w:afterAutospacing="0" w:line="360" w:lineRule="auto"/>
        <w:ind w:firstLine="480" w:firstLineChars="200"/>
        <w:jc w:val="both"/>
        <w:rPr>
          <w:rFonts w:ascii="Times New Roman" w:hAnsi="Times New Roman" w:cs="Times New Roman"/>
        </w:rPr>
      </w:pPr>
      <w:r>
        <w:rPr>
          <w:rFonts w:hint="eastAsia" w:ascii="Times New Roman" w:hAnsi="Times New Roman" w:cs="Times New Roman"/>
        </w:rPr>
        <w:t>黄精适合在亚热带、温带及寒温带广泛种植，尤其适合林下种植，不占用良田、不争夺林地。蒋剑春院士等人提出，黄精是一种具有较大发展潜力的作物，能够解决显性和隐性饥饿问题，是新兴的林粮作物。（斯金平、蒋剑春等，《中国工程科学》，</w:t>
      </w:r>
      <w:r>
        <w:rPr>
          <w:rFonts w:ascii="Times New Roman" w:hAnsi="Times New Roman" w:cs="Times New Roman"/>
        </w:rPr>
        <w:t>2024</w:t>
      </w:r>
      <w:r>
        <w:rPr>
          <w:rFonts w:hint="eastAsia" w:ascii="Times New Roman" w:hAnsi="Times New Roman" w:cs="Times New Roman"/>
        </w:rPr>
        <w:t>年第</w:t>
      </w:r>
      <w:r>
        <w:rPr>
          <w:rFonts w:ascii="Times New Roman" w:hAnsi="Times New Roman" w:cs="Times New Roman"/>
        </w:rPr>
        <w:t>2</w:t>
      </w:r>
      <w:r>
        <w:rPr>
          <w:rFonts w:hint="eastAsia" w:ascii="Times New Roman" w:hAnsi="Times New Roman" w:cs="Times New Roman"/>
        </w:rPr>
        <w:t>期：《新兴林粮——黄精产业发展战略研究》）。我省作为国家生态文明试验区（江西），拥有</w:t>
      </w:r>
      <w:r>
        <w:rPr>
          <w:rFonts w:ascii="Times New Roman" w:hAnsi="Times New Roman" w:cs="Times New Roman"/>
        </w:rPr>
        <w:t>1.55</w:t>
      </w:r>
      <w:r>
        <w:rPr>
          <w:rFonts w:hint="eastAsia" w:ascii="Times New Roman" w:hAnsi="Times New Roman" w:cs="Times New Roman"/>
        </w:rPr>
        <w:t>亿亩森林，森林覆盖率达</w:t>
      </w:r>
      <w:r>
        <w:rPr>
          <w:rFonts w:ascii="Times New Roman" w:hAnsi="Times New Roman" w:cs="Times New Roman"/>
        </w:rPr>
        <w:t>63.35%</w:t>
      </w:r>
      <w:r>
        <w:rPr>
          <w:rFonts w:hint="eastAsia" w:ascii="Times New Roman" w:hAnsi="Times New Roman" w:cs="Times New Roman"/>
        </w:rPr>
        <w:t>，位居全国第二。（省林业局官网</w:t>
      </w:r>
      <w:r>
        <w:rPr>
          <w:rFonts w:ascii="Times New Roman" w:hAnsi="Times New Roman" w:cs="Times New Roman"/>
        </w:rPr>
        <w:t>2023</w:t>
      </w:r>
      <w:r>
        <w:rPr>
          <w:rFonts w:hint="eastAsia" w:ascii="Times New Roman" w:hAnsi="Times New Roman" w:cs="Times New Roman"/>
        </w:rPr>
        <w:t>年</w:t>
      </w:r>
      <w:r>
        <w:rPr>
          <w:rFonts w:ascii="Times New Roman" w:hAnsi="Times New Roman" w:cs="Times New Roman"/>
        </w:rPr>
        <w:t>10</w:t>
      </w:r>
      <w:r>
        <w:rPr>
          <w:rFonts w:hint="eastAsia" w:ascii="Times New Roman" w:hAnsi="Times New Roman" w:cs="Times New Roman"/>
        </w:rPr>
        <w:t>月）。林地、山地及林下黄精的各种生态种植模式自发蓬勃发展，吸引了江西省林业局和多地县政府的政策性奖补支持，种植面积大，技术相对成熟。“藏粮于林下”的黄精正逐渐成为包括我省在内的南方各省（区）林业发展战略的重要组成部分。</w:t>
      </w:r>
    </w:p>
    <w:p w14:paraId="37D9D621">
      <w:pPr>
        <w:spacing w:line="360" w:lineRule="auto"/>
        <w:ind w:firstLine="480" w:firstLineChars="200"/>
        <w:rPr>
          <w:rFonts w:ascii="Times New Roman" w:hAnsi="Times New Roman" w:eastAsia="宋体" w:cs="Times New Roman"/>
          <w:kern w:val="0"/>
          <w:sz w:val="24"/>
          <w:szCs w:val="24"/>
        </w:rPr>
      </w:pPr>
      <w:r>
        <w:rPr>
          <w:rFonts w:hint="eastAsia" w:ascii="Times New Roman" w:hAnsi="Times New Roman" w:eastAsia="宋体" w:cs="Times New Roman"/>
          <w:kern w:val="0"/>
          <w:sz w:val="24"/>
          <w:szCs w:val="24"/>
        </w:rPr>
        <w:t>顺应国务院办公厅《关于坚决制止耕地“非农化”行为的通知》（国办发〔</w:t>
      </w:r>
      <w:r>
        <w:rPr>
          <w:rFonts w:ascii="Times New Roman" w:hAnsi="Times New Roman" w:eastAsia="宋体" w:cs="Times New Roman"/>
          <w:kern w:val="0"/>
          <w:sz w:val="24"/>
          <w:szCs w:val="24"/>
        </w:rPr>
        <w:t>2020〕24号）、《关于防止耕地“非粮化”稳定粮食生产的意见》（国办发〔2020〕44号）和《关于科学利用林地资源 促进木本粮油和林下经济高质量发展的意见》（发改农经〔2020〕1753号）等要求。也要求我们多渠道发展林下黄精。</w:t>
      </w:r>
    </w:p>
    <w:p w14:paraId="296DC4B5">
      <w:pPr>
        <w:spacing w:line="360" w:lineRule="auto"/>
        <w:ind w:firstLine="480" w:firstLineChars="200"/>
        <w:rPr>
          <w:rFonts w:ascii="Times New Roman" w:hAnsi="Times New Roman" w:eastAsia="宋体" w:cs="Times New Roman"/>
          <w:kern w:val="0"/>
          <w:sz w:val="24"/>
          <w:szCs w:val="24"/>
        </w:rPr>
      </w:pPr>
      <w:r>
        <w:rPr>
          <w:rFonts w:hint="eastAsia" w:ascii="Times New Roman" w:hAnsi="Times New Roman" w:eastAsia="宋体" w:cs="Times New Roman"/>
          <w:kern w:val="0"/>
          <w:sz w:val="24"/>
          <w:szCs w:val="24"/>
        </w:rPr>
        <w:t>通过梳理研究黄精栽培技术方面的文献，野生黄精的最适郁闭度为</w:t>
      </w:r>
      <w:r>
        <w:rPr>
          <w:rFonts w:ascii="Times New Roman" w:hAnsi="Times New Roman" w:eastAsia="宋体" w:cs="Times New Roman"/>
          <w:kern w:val="0"/>
          <w:sz w:val="24"/>
          <w:szCs w:val="24"/>
        </w:rPr>
        <w:t>60~80 %</w:t>
      </w:r>
      <w:r>
        <w:rPr>
          <w:rFonts w:hint="eastAsia" w:ascii="Times New Roman" w:hAnsi="Times New Roman" w:eastAsia="宋体" w:cs="Times New Roman"/>
          <w:kern w:val="0"/>
          <w:sz w:val="24"/>
          <w:szCs w:val="24"/>
        </w:rPr>
        <w:t>，人工栽培黄精适宜的郁闭度随苗龄的增长而下降，苗期郁闭度约</w:t>
      </w:r>
      <w:r>
        <w:rPr>
          <w:rFonts w:ascii="Times New Roman" w:hAnsi="Times New Roman" w:eastAsia="宋体" w:cs="Times New Roman"/>
          <w:kern w:val="0"/>
          <w:sz w:val="24"/>
          <w:szCs w:val="24"/>
        </w:rPr>
        <w:t>65 %[20]</w:t>
      </w:r>
      <w:r>
        <w:rPr>
          <w:rFonts w:hint="eastAsia" w:ascii="Times New Roman" w:hAnsi="Times New Roman" w:eastAsia="宋体" w:cs="Times New Roman"/>
          <w:kern w:val="0"/>
          <w:sz w:val="24"/>
          <w:szCs w:val="24"/>
        </w:rPr>
        <w:t>。郁闭度过高会导致植物光合产物向地上部分运输，从而影响地下部分营养物质的积累</w:t>
      </w:r>
      <w:r>
        <w:rPr>
          <w:rFonts w:ascii="Times New Roman" w:hAnsi="Times New Roman" w:eastAsia="宋体" w:cs="Times New Roman"/>
          <w:kern w:val="0"/>
          <w:sz w:val="24"/>
          <w:szCs w:val="24"/>
        </w:rPr>
        <w:t>[21]</w:t>
      </w:r>
      <w:r>
        <w:rPr>
          <w:rFonts w:hint="eastAsia" w:ascii="Times New Roman" w:hAnsi="Times New Roman" w:eastAsia="宋体" w:cs="Times New Roman"/>
          <w:kern w:val="0"/>
          <w:sz w:val="24"/>
          <w:szCs w:val="24"/>
        </w:rPr>
        <w:t>。赵立春等</w:t>
      </w:r>
      <w:r>
        <w:rPr>
          <w:rFonts w:ascii="Times New Roman" w:hAnsi="Times New Roman" w:eastAsia="宋体" w:cs="Times New Roman"/>
          <w:kern w:val="0"/>
          <w:sz w:val="24"/>
          <w:szCs w:val="24"/>
        </w:rPr>
        <w:t>[22]</w:t>
      </w:r>
      <w:r>
        <w:rPr>
          <w:rFonts w:hint="eastAsia" w:ascii="Times New Roman" w:hAnsi="Times New Roman" w:eastAsia="宋体" w:cs="Times New Roman"/>
          <w:kern w:val="0"/>
          <w:sz w:val="24"/>
          <w:szCs w:val="24"/>
        </w:rPr>
        <w:t>研究发现，在林下和大田</w:t>
      </w:r>
      <w:r>
        <w:rPr>
          <w:rFonts w:ascii="Times New Roman" w:hAnsi="Times New Roman" w:eastAsia="宋体" w:cs="Times New Roman"/>
          <w:kern w:val="0"/>
          <w:sz w:val="24"/>
          <w:szCs w:val="24"/>
        </w:rPr>
        <w:t>2</w:t>
      </w:r>
      <w:r>
        <w:rPr>
          <w:rFonts w:hint="eastAsia" w:ascii="Times New Roman" w:hAnsi="Times New Roman" w:eastAsia="宋体" w:cs="Times New Roman"/>
          <w:kern w:val="0"/>
          <w:sz w:val="24"/>
          <w:szCs w:val="24"/>
        </w:rPr>
        <w:t>种环境下栽培的黄精质量无显著差异。另有研究指出，大田种植的多花黄精光合作用及生物量的积累均高于林下栽植，但由于大田夏季温度过高，使得植株叶片过早枯萎，相反林下栽培的植株叶片则不明显，表明多花黄精不耐高温，适宜较荫蔽的生长环境</w:t>
      </w:r>
      <w:r>
        <w:rPr>
          <w:rFonts w:ascii="Times New Roman" w:hAnsi="Times New Roman" w:eastAsia="宋体" w:cs="Times New Roman"/>
          <w:kern w:val="0"/>
          <w:sz w:val="24"/>
          <w:szCs w:val="24"/>
        </w:rPr>
        <w:t>[23]</w:t>
      </w:r>
      <w:r>
        <w:rPr>
          <w:rFonts w:hint="eastAsia" w:ascii="Times New Roman" w:hAnsi="Times New Roman" w:eastAsia="宋体" w:cs="Times New Roman"/>
          <w:kern w:val="0"/>
          <w:sz w:val="24"/>
          <w:szCs w:val="24"/>
        </w:rPr>
        <w:t>。章文前</w:t>
      </w:r>
      <w:r>
        <w:rPr>
          <w:rFonts w:ascii="Times New Roman" w:hAnsi="Times New Roman" w:eastAsia="宋体" w:cs="Times New Roman"/>
          <w:kern w:val="0"/>
          <w:sz w:val="24"/>
          <w:szCs w:val="24"/>
        </w:rPr>
        <w:t>[24]</w:t>
      </w:r>
      <w:r>
        <w:rPr>
          <w:rFonts w:hint="eastAsia" w:ascii="Times New Roman" w:hAnsi="Times New Roman" w:eastAsia="宋体" w:cs="Times New Roman"/>
          <w:kern w:val="0"/>
          <w:sz w:val="24"/>
          <w:szCs w:val="24"/>
        </w:rPr>
        <w:t>研究了多花黄精地上部分的生长，林下郁闭度高的植株生长优于郁闭度低的植株，而地下部分的生长则相反，结果表明，多花黄精植株生长需要适度遮荫，但考虑到营养成分的积累需要一定的光照。这些也都和本文采纳的江西省地方标准《多花黄精规范化种植技术规程》相一致，只要标准化生产，林下种植、林间套种等多种方式一样有较高的产量更好的品质，在成本上却大大节降，在利用空间上意义非常大。</w:t>
      </w:r>
    </w:p>
    <w:p w14:paraId="13987F20">
      <w:pPr>
        <w:pStyle w:val="44"/>
        <w:spacing w:line="360" w:lineRule="auto"/>
        <w:ind w:firstLine="480"/>
        <w:rPr>
          <w:rFonts w:ascii="Times New Roman" w:hAnsi="Times New Roman" w:eastAsia="宋体" w:cs="Times New Roman"/>
          <w:bCs/>
          <w:sz w:val="24"/>
          <w:szCs w:val="24"/>
        </w:rPr>
      </w:pPr>
      <w:r>
        <w:rPr>
          <w:rFonts w:ascii="Times New Roman" w:hAnsi="Times New Roman" w:cs="Times New Roman"/>
          <w:bCs/>
          <w:sz w:val="24"/>
          <w:szCs w:val="24"/>
        </w:rPr>
        <w:t>7</w:t>
      </w:r>
      <w:r>
        <w:rPr>
          <w:rFonts w:hint="eastAsia" w:ascii="Times New Roman" w:hAnsi="Times New Roman" w:cs="Times New Roman"/>
          <w:bCs/>
          <w:sz w:val="24"/>
          <w:szCs w:val="24"/>
        </w:rPr>
        <w:t>.</w:t>
      </w:r>
      <w:r>
        <w:rPr>
          <w:rFonts w:ascii="Times New Roman" w:hAnsi="Times New Roman" w:cs="Times New Roman"/>
          <w:bCs/>
          <w:sz w:val="24"/>
          <w:szCs w:val="24"/>
        </w:rPr>
        <w:t>4.1.1</w:t>
      </w:r>
      <w:r>
        <w:rPr>
          <w:rFonts w:hint="eastAsia" w:ascii="Times New Roman" w:hAnsi="Times New Roman" w:cs="Times New Roman"/>
          <w:bCs/>
          <w:sz w:val="24"/>
          <w:szCs w:val="24"/>
        </w:rPr>
        <w:t xml:space="preserve"> </w:t>
      </w:r>
      <w:r>
        <w:rPr>
          <w:rFonts w:hint="eastAsia" w:ascii="Times New Roman" w:hAnsi="Times New Roman" w:eastAsia="宋体" w:cs="Times New Roman"/>
          <w:bCs/>
          <w:sz w:val="24"/>
          <w:szCs w:val="24"/>
        </w:rPr>
        <w:t>黄精林下栽培理论基础</w:t>
      </w:r>
    </w:p>
    <w:p w14:paraId="5B0A1EAC">
      <w:pPr>
        <w:pStyle w:val="44"/>
        <w:spacing w:line="360" w:lineRule="auto"/>
        <w:ind w:firstLine="480"/>
        <w:rPr>
          <w:rFonts w:ascii="Times New Roman" w:hAnsi="Times New Roman" w:eastAsia="宋体" w:cs="Times New Roman"/>
          <w:color w:val="000000" w:themeColor="text1"/>
          <w:sz w:val="24"/>
          <w:szCs w:val="21"/>
        </w:rPr>
      </w:pPr>
      <w:r>
        <w:rPr>
          <w:rFonts w:hint="eastAsia" w:ascii="Times New Roman" w:hAnsi="Times New Roman" w:eastAsia="宋体" w:cs="Times New Roman"/>
          <w:color w:val="000000" w:themeColor="text1"/>
          <w:sz w:val="24"/>
          <w:szCs w:val="21"/>
        </w:rPr>
        <w:t>黄精是阴生植物，自然分布于山地林缘、灌丛中或山坡半阴地，通常必须在其它植物或人工遮阳的环境下生长。物种间具有复杂的互作关系，包括竞争、排斥、共生、协作等有利或有害关系。黄精林下种植应遵循物质循环和能量流动理论，充分发挥地上与地下种间互作有益关系，避免或克服有害关系，利用生物多样性“相生相克”和“生境耦合”原理，合理选择林地、林木树种、伴生植物，运用合理的耕作制度，正向调控有益微生物，维护黄精“生态位”是种好黄精的技术关键。</w:t>
      </w:r>
    </w:p>
    <w:p w14:paraId="397E3274">
      <w:pPr>
        <w:pStyle w:val="44"/>
        <w:spacing w:line="360" w:lineRule="auto"/>
        <w:ind w:firstLine="480"/>
        <w:rPr>
          <w:rFonts w:ascii="Times New Roman" w:hAnsi="Times New Roman" w:eastAsia="宋体" w:cs="Times New Roman"/>
          <w:color w:val="000000" w:themeColor="text1"/>
          <w:sz w:val="24"/>
          <w:szCs w:val="21"/>
        </w:rPr>
      </w:pPr>
      <w:r>
        <w:rPr>
          <w:rFonts w:hint="eastAsia" w:ascii="Times New Roman" w:hAnsi="Times New Roman" w:eastAsia="宋体" w:cs="Times New Roman"/>
          <w:color w:val="000000" w:themeColor="text1"/>
          <w:sz w:val="24"/>
          <w:szCs w:val="21"/>
        </w:rPr>
        <w:t>（一）物质循环和能量流动理论</w:t>
      </w:r>
    </w:p>
    <w:p w14:paraId="5139C2B7">
      <w:pPr>
        <w:pStyle w:val="44"/>
        <w:spacing w:line="360" w:lineRule="auto"/>
        <w:ind w:firstLine="480"/>
        <w:rPr>
          <w:rFonts w:ascii="Times New Roman" w:hAnsi="Times New Roman" w:eastAsia="宋体" w:cs="Times New Roman"/>
          <w:color w:val="000000" w:themeColor="text1"/>
          <w:sz w:val="24"/>
          <w:szCs w:val="21"/>
        </w:rPr>
      </w:pPr>
      <w:r>
        <w:rPr>
          <w:rFonts w:hint="eastAsia" w:ascii="Times New Roman" w:hAnsi="Times New Roman" w:eastAsia="宋体" w:cs="Times New Roman"/>
          <w:color w:val="000000" w:themeColor="text1"/>
          <w:sz w:val="24"/>
          <w:szCs w:val="21"/>
        </w:rPr>
        <w:t>物质循环。生态系统中的物质循环，也叫生物地球化学循环，是指在生态系统中，各种化学元素（或物质）沿特定的途径从环境到生物体，再从生物体到环境并再次被生物体吸收</w:t>
      </w:r>
      <w:r>
        <w:rPr>
          <w:rFonts w:ascii="Times New Roman" w:hAnsi="Times New Roman" w:eastAsia="宋体" w:cs="Times New Roman"/>
          <w:color w:val="000000" w:themeColor="text1"/>
          <w:sz w:val="24"/>
          <w:szCs w:val="21"/>
        </w:rPr>
        <w:t>利用的循环变化的过程，即各种化学元素或物质在生物体与非生物环境之间的循环运转过程；其特点是物质不灭，循环往复。生态系统中物质循环的类型主要有碳循环、氮循环、水循环等。</w:t>
      </w:r>
    </w:p>
    <w:p w14:paraId="36C260C8">
      <w:pPr>
        <w:pStyle w:val="44"/>
        <w:spacing w:line="360" w:lineRule="auto"/>
        <w:ind w:firstLine="480"/>
        <w:rPr>
          <w:rFonts w:ascii="Times New Roman" w:hAnsi="Times New Roman" w:eastAsia="宋体" w:cs="Times New Roman"/>
          <w:color w:val="000000" w:themeColor="text1"/>
          <w:sz w:val="24"/>
          <w:szCs w:val="21"/>
        </w:rPr>
      </w:pPr>
      <w:r>
        <w:rPr>
          <w:rFonts w:hint="eastAsia" w:ascii="Times New Roman" w:hAnsi="Times New Roman" w:eastAsia="宋体" w:cs="Times New Roman"/>
          <w:color w:val="000000" w:themeColor="text1"/>
          <w:sz w:val="24"/>
          <w:szCs w:val="21"/>
        </w:rPr>
        <w:t>能量流动。生态系统中能量的输入、传递、转化和散失的过程，称为生态系统的能量流动。生态系统最初的能源来源于太阳，太阳光照到地球表面上，产生两种能量形式：一种是热能，它温暖大地，推动水分循环，产生大气和水的循环；另一种是光化学能，成为地球上一切生命体进行生命活动的能量的来源，也是生态系统存在和发展的基础。</w:t>
      </w:r>
    </w:p>
    <w:p w14:paraId="111D66CD">
      <w:pPr>
        <w:pStyle w:val="44"/>
        <w:spacing w:line="360" w:lineRule="auto"/>
        <w:ind w:firstLine="480"/>
        <w:rPr>
          <w:rFonts w:ascii="Times New Roman" w:hAnsi="Times New Roman" w:eastAsia="宋体" w:cs="Times New Roman"/>
          <w:color w:val="000000" w:themeColor="text1"/>
          <w:sz w:val="24"/>
          <w:szCs w:val="21"/>
        </w:rPr>
      </w:pPr>
      <w:r>
        <w:rPr>
          <w:rFonts w:hint="eastAsia" w:ascii="Times New Roman" w:hAnsi="Times New Roman" w:eastAsia="宋体" w:cs="Times New Roman"/>
          <w:color w:val="000000" w:themeColor="text1"/>
          <w:sz w:val="24"/>
          <w:szCs w:val="21"/>
        </w:rPr>
        <w:t>森林生态系统内的物质循环最主要的是植物群落和土壤之间养分的往返循环，即森林植物通过根系从土壤中吸收各种营养元素，并将其变成自身机体，每年又以枯落物的形式，将所积累营养元素的一部分归还给土壤。其循环可分为三个过程：①养分吸收，即林木及其他植物根系对土壤养分的吸收；②养分存留，即林木与其他植物的树干、枝叶和根系生长所存留的养分；③养分归还，即每年以叶、花、果、死枝等枯落物形式还回土壤。而基于黄精对森林生态系统的依赖、参与森林生态系统能量流动与物质循环，其生长不仅利用林地空间光、温、水、气等生态因素，还与林地土壤、地下空间互作等密切关联。不仅要优化林地地上空间资源配置，还要科学把握地下部分互作，通过研究林木树种、黄精与伴生植物互作对地下空间、土壤结构、代谢物、微生物的影响，及其共同影响林下植物质量、产量、抗病害的机制，建立林下生物协同配置技术，让黄精回归山野林中，不使用化学农药和化学化肥，从源头解决连作障碍、药材质量下滑等难题。</w:t>
      </w:r>
    </w:p>
    <w:p w14:paraId="52460F6A">
      <w:pPr>
        <w:spacing w:line="360" w:lineRule="auto"/>
        <w:ind w:firstLine="480" w:firstLineChars="200"/>
        <w:rPr>
          <w:rFonts w:ascii="Times New Roman" w:hAnsi="Times New Roman" w:eastAsia="宋体" w:cs="Times New Roman"/>
          <w:sz w:val="24"/>
          <w:szCs w:val="21"/>
        </w:rPr>
      </w:pPr>
      <w:bookmarkStart w:id="21" w:name="_Toc155452798"/>
      <w:r>
        <w:rPr>
          <w:rFonts w:hint="eastAsia" w:ascii="Times New Roman" w:hAnsi="Times New Roman" w:eastAsia="宋体" w:cs="Times New Roman"/>
          <w:sz w:val="24"/>
          <w:szCs w:val="21"/>
        </w:rPr>
        <w:t>（二）地上部分互作</w:t>
      </w:r>
      <w:bookmarkEnd w:id="21"/>
    </w:p>
    <w:p w14:paraId="13ECB3BF">
      <w:p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黄精地上部分互作主要体现在林地资源空间的利用、植物间化学物质的传递以及叶际微生物的影响等，与能量流动与物质循环息息相关，影响着林地生物的生长发育。</w:t>
      </w:r>
    </w:p>
    <w:p w14:paraId="321A7FC2">
      <w:pPr>
        <w:pStyle w:val="44"/>
        <w:numPr>
          <w:ilvl w:val="255"/>
          <w:numId w:val="0"/>
        </w:num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1、林地资源空间的利用</w:t>
      </w:r>
    </w:p>
    <w:p w14:paraId="408F5853">
      <w:p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合理的地上部分互作具有高效的资源空间利用率，主要体现在能充分利用群落的垂直结构。地上部分资源包括光照、温度、水分、空间等，林木与林下植物的高矮搭配、阳生与阴生植物的搭配模式，上层林木为阴生植物营造了弱光遮阴环境，同时减少了林间杂草带来的竞争，空间生态位得到合理分配，实现互惠共生。合理的间套作模式能减少植物对光照需求生态位的重叠度，充分利用耕地面积，提高资源利用率，与林地生产力。理想的森林群落叶群分布趋向理想，群体内消光系数变小，形成合理的冠层分布，提高照光叶面积指数，延长光合时间提高光能利用率，从而获得高产。</w:t>
      </w:r>
    </w:p>
    <w:p w14:paraId="62AF11FB">
      <w:pPr>
        <w:pStyle w:val="44"/>
        <w:numPr>
          <w:ilvl w:val="255"/>
          <w:numId w:val="0"/>
        </w:num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2、化学物质的传递</w:t>
      </w:r>
    </w:p>
    <w:p w14:paraId="0F1842AA">
      <w:p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种间互作还包含了植物间传递的化学物质，植物挥发到空气中的化学成分，作为植物间的化学通讯物质，可诱导自身或邻近植物做出化学防御行为，如茉莉酸甲酷、乙烯、水杨酸甲酯，有助于驱散害虫，体现出植物种间互作的间作优势。植物间互作通过对资源的合理分配、高效利用或降低不利因素等有益方式实现共生共赢。</w:t>
      </w:r>
    </w:p>
    <w:p w14:paraId="5519E0DC">
      <w:pPr>
        <w:pStyle w:val="44"/>
        <w:numPr>
          <w:ilvl w:val="255"/>
          <w:numId w:val="0"/>
        </w:num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3、叶际微生物的影响</w:t>
      </w:r>
    </w:p>
    <w:p w14:paraId="27960248">
      <w:p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叶际是指植物的所有地上器官，包括叶、花、茎和果实。叶际微生物主要来源于土壤，种子和空气等。叶际微生物组通过风、雨水飞溅或昆虫爬行等在自然环境中可能相互影响和交流。已有研究表明叶际微生物组能够帮助植物对抗病原菌、耐受逆境（干旱、紫外线、霜冻）、提高营养的吸收以及调节植物代谢平衡等。正常的叶际微生物组的稳态被打破可能会抑制植物的正常生长。研究发现免疫相关等通路缺失的拟南芥突变体在高湿度处理下就会出现叶际微生物组失衡和大量增殖，细菌多样性下降并且植物叶片表现出类似病害的表型。目前，植物叶际微生物的研究还处于起步阶段，对于叶际微生物组的功能及其与宿主、环境的相互关系还有很多需要去了解。随着二代大规模测序技术、生物信息学分析流程、人工合成菌落和人工可控的植物</w:t>
      </w:r>
      <w:r>
        <w:rPr>
          <w:rFonts w:ascii="Times New Roman" w:hAnsi="Times New Roman" w:eastAsia="宋体" w:cs="Times New Roman"/>
          <w:sz w:val="24"/>
          <w:szCs w:val="21"/>
        </w:rPr>
        <w:t>-</w:t>
      </w:r>
      <w:r>
        <w:rPr>
          <w:rFonts w:hint="eastAsia" w:ascii="Times New Roman" w:hAnsi="Times New Roman" w:eastAsia="宋体" w:cs="Times New Roman"/>
          <w:sz w:val="24"/>
          <w:szCs w:val="21"/>
        </w:rPr>
        <w:t>微生物系统等功能性研究手段等的不断发展，相信未来研究会极大加深人们对叶际微生物组的认识，为林下种植时通过调控微生物组促进植物健康和产量提供更多的方案。</w:t>
      </w:r>
    </w:p>
    <w:p w14:paraId="6577250C">
      <w:pPr>
        <w:spacing w:line="360" w:lineRule="auto"/>
        <w:ind w:firstLine="480" w:firstLineChars="200"/>
        <w:rPr>
          <w:rFonts w:ascii="Times New Roman" w:hAnsi="Times New Roman" w:eastAsia="宋体" w:cs="Times New Roman"/>
          <w:sz w:val="24"/>
          <w:szCs w:val="21"/>
        </w:rPr>
      </w:pPr>
      <w:bookmarkStart w:id="22" w:name="_Toc155452799"/>
      <w:r>
        <w:rPr>
          <w:rFonts w:hint="eastAsia" w:ascii="Times New Roman" w:hAnsi="Times New Roman" w:eastAsia="宋体" w:cs="Times New Roman"/>
          <w:sz w:val="24"/>
          <w:szCs w:val="21"/>
        </w:rPr>
        <w:t>（三）地下部分互作</w:t>
      </w:r>
      <w:bookmarkEnd w:id="22"/>
    </w:p>
    <w:p w14:paraId="5EF5AA56">
      <w:p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植物生长离不开根系与土壤，根</w:t>
      </w:r>
      <w:r>
        <w:rPr>
          <w:rFonts w:ascii="Times New Roman" w:hAnsi="Times New Roman" w:eastAsia="宋体" w:cs="Times New Roman"/>
          <w:sz w:val="24"/>
          <w:szCs w:val="21"/>
        </w:rPr>
        <w:t>-</w:t>
      </w:r>
      <w:r>
        <w:rPr>
          <w:rFonts w:hint="eastAsia" w:ascii="Times New Roman" w:hAnsi="Times New Roman" w:eastAsia="宋体" w:cs="Times New Roman"/>
          <w:sz w:val="24"/>
          <w:szCs w:val="21"/>
        </w:rPr>
        <w:t>土壤</w:t>
      </w:r>
      <w:r>
        <w:rPr>
          <w:rFonts w:ascii="Times New Roman" w:hAnsi="Times New Roman" w:eastAsia="宋体" w:cs="Times New Roman"/>
          <w:sz w:val="24"/>
          <w:szCs w:val="21"/>
        </w:rPr>
        <w:t>-</w:t>
      </w:r>
      <w:r>
        <w:rPr>
          <w:rFonts w:hint="eastAsia" w:ascii="Times New Roman" w:hAnsi="Times New Roman" w:eastAsia="宋体" w:cs="Times New Roman"/>
          <w:sz w:val="24"/>
          <w:szCs w:val="21"/>
        </w:rPr>
        <w:t>微生物三者是植物地下空间与物质循环的核心。从根际效应角度出发，介绍根系分泌物、根际微生物等介导的种间互作对植物的影响。</w:t>
      </w:r>
    </w:p>
    <w:p w14:paraId="31DDF160">
      <w:pPr>
        <w:pStyle w:val="44"/>
        <w:numPr>
          <w:ilvl w:val="255"/>
          <w:numId w:val="0"/>
        </w:num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1、根际效应</w:t>
      </w:r>
    </w:p>
    <w:p w14:paraId="471F3099">
      <w:p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植物根系隐藏于土壤环境中，受植物根系生命活动影响的特定微型土壤区域称为根际，是土壤、植物生态系统物质交换的活跃界面，根际范围一般为</w:t>
      </w:r>
      <w:r>
        <w:rPr>
          <w:rFonts w:ascii="Times New Roman" w:hAnsi="Times New Roman" w:eastAsia="宋体" w:cs="Times New Roman"/>
          <w:sz w:val="24"/>
          <w:szCs w:val="21"/>
        </w:rPr>
        <w:t>0.5</w:t>
      </w:r>
      <w:r>
        <w:rPr>
          <w:rFonts w:hint="eastAsia" w:ascii="Times New Roman" w:hAnsi="Times New Roman" w:eastAsia="宋体" w:cs="Times New Roman"/>
          <w:sz w:val="24"/>
          <w:szCs w:val="21"/>
        </w:rPr>
        <w:t>～</w:t>
      </w:r>
      <w:r>
        <w:rPr>
          <w:rFonts w:ascii="Times New Roman" w:hAnsi="Times New Roman" w:eastAsia="宋体" w:cs="Times New Roman"/>
          <w:sz w:val="24"/>
          <w:szCs w:val="21"/>
        </w:rPr>
        <w:t>4 mm</w:t>
      </w:r>
      <w:r>
        <w:rPr>
          <w:rFonts w:hint="eastAsia" w:ascii="Times New Roman" w:hAnsi="Times New Roman" w:eastAsia="宋体" w:cs="Times New Roman"/>
          <w:sz w:val="24"/>
          <w:szCs w:val="21"/>
        </w:rPr>
        <w:t>。植物</w:t>
      </w:r>
      <w:r>
        <w:rPr>
          <w:rFonts w:ascii="Times New Roman" w:hAnsi="Times New Roman" w:eastAsia="宋体" w:cs="Times New Roman"/>
          <w:sz w:val="24"/>
          <w:szCs w:val="21"/>
        </w:rPr>
        <w:t>-</w:t>
      </w:r>
      <w:r>
        <w:rPr>
          <w:rFonts w:hint="eastAsia" w:ascii="Times New Roman" w:hAnsi="Times New Roman" w:eastAsia="宋体" w:cs="Times New Roman"/>
          <w:sz w:val="24"/>
          <w:szCs w:val="21"/>
        </w:rPr>
        <w:t>微生物</w:t>
      </w:r>
      <w:r>
        <w:rPr>
          <w:rFonts w:ascii="Times New Roman" w:hAnsi="Times New Roman" w:eastAsia="宋体" w:cs="Times New Roman"/>
          <w:sz w:val="24"/>
          <w:szCs w:val="21"/>
        </w:rPr>
        <w:t>-</w:t>
      </w:r>
      <w:r>
        <w:rPr>
          <w:rFonts w:hint="eastAsia" w:ascii="Times New Roman" w:hAnsi="Times New Roman" w:eastAsia="宋体" w:cs="Times New Roman"/>
          <w:sz w:val="24"/>
          <w:szCs w:val="21"/>
        </w:rPr>
        <w:t>土壤系统间相互作用产生的效应称之为“根际效应”。土壤</w:t>
      </w:r>
      <w:r>
        <w:rPr>
          <w:rFonts w:ascii="Times New Roman" w:hAnsi="Times New Roman" w:eastAsia="宋体" w:cs="Times New Roman"/>
          <w:sz w:val="24"/>
          <w:szCs w:val="21"/>
        </w:rPr>
        <w:t>-</w:t>
      </w:r>
      <w:r>
        <w:rPr>
          <w:rFonts w:hint="eastAsia" w:ascii="Times New Roman" w:hAnsi="Times New Roman" w:eastAsia="宋体" w:cs="Times New Roman"/>
          <w:sz w:val="24"/>
          <w:szCs w:val="21"/>
        </w:rPr>
        <w:t>微生物</w:t>
      </w:r>
      <w:r>
        <w:rPr>
          <w:rFonts w:ascii="Times New Roman" w:hAnsi="Times New Roman" w:eastAsia="宋体" w:cs="Times New Roman"/>
          <w:sz w:val="24"/>
          <w:szCs w:val="21"/>
        </w:rPr>
        <w:t>-</w:t>
      </w:r>
      <w:r>
        <w:rPr>
          <w:rFonts w:hint="eastAsia" w:ascii="Times New Roman" w:hAnsi="Times New Roman" w:eastAsia="宋体" w:cs="Times New Roman"/>
          <w:sz w:val="24"/>
          <w:szCs w:val="21"/>
        </w:rPr>
        <w:t>植物的地下系统中根系分泌物作为重要的介导物质，植物根分泌的黄酮和氢醌等分子也可以经土壤媒介传递信息，起着平衡、传递信号及交流的作用。由根系分泌物介导产生的根际效应表现形式有多种：根系分支的塑造及空间分布、土壤微生物活性、多样性、群落结构的调控、土壤理化性质的改变、土壤酶活性改善。根际范围内根系分泌物、土壤微生物、土壤环境、根系分支构造等因素之间的变化相辅相成、密切联系。</w:t>
      </w:r>
    </w:p>
    <w:p w14:paraId="485D7A1C">
      <w:pPr>
        <w:pStyle w:val="44"/>
        <w:numPr>
          <w:ilvl w:val="255"/>
          <w:numId w:val="0"/>
        </w:num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2、根系空间结构、形态与分布特征</w:t>
      </w:r>
    </w:p>
    <w:p w14:paraId="0C480F9E">
      <w:p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根结构描述了整个根系的空间配置，包括根系长度、根密度、根分支和分支强度、根角和生物量等特征。根形态描述了单个根的物理特征，如直径、表面积、细胞壁结构、根毛和特定根长度。根的空间结构和分布特征不仅可以反映土壤资源被利用的可能性及其生产力，也决定了植物个体间或种群间对土壤中水分、养分资源的竞争能力和强度。黄精不宜在毛竹林下种植，黄精地下部分与竹鞭交错，限制黄精根茎生长，也增加其收获难度。</w:t>
      </w:r>
    </w:p>
    <w:p w14:paraId="0912C468">
      <w:p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根系分支构造可能在定性和定量合成根系分泌物上发挥重要作用，有学者证明分泌物的量与根系生长呈正相关。根际分泌物的浓度也会受到根直径的影响。与许多植物物种的粗根相比，细根的总根系渗出率（尤其是葡萄糖和有机酸）显著高于粗根。根系分泌物还可以直接影响周围植物的根构型以及营养吸收相关基因的改变，促进植物的生长。</w:t>
      </w:r>
    </w:p>
    <w:p w14:paraId="42AE16B8">
      <w:p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根系结构和形态还具有显著塑造根际微生物群落结构和功能的潜力。根结构特征有可能通过对整个根系的影响来影响根际微生物组。根际微生物多样性与根系长度、生物量和分支强度等各种根系结构特征有关。根系直径决定了植物的营养获取策略、水分输送、离子吸收、土壤渗透和其他根系形态特征。越来越多的证据表明，较细的根直径会招募更多样化的根际群落，例如天然灌木丛、刺槐、桃树、杨树，以及相关农作物玉米和小麦等。</w:t>
      </w:r>
    </w:p>
    <w:p w14:paraId="44AB92DB">
      <w:pPr>
        <w:pStyle w:val="44"/>
        <w:numPr>
          <w:ilvl w:val="255"/>
          <w:numId w:val="0"/>
        </w:num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3、根系分泌物</w:t>
      </w:r>
    </w:p>
    <w:p w14:paraId="015A3751">
      <w:p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根系分泌物是指植物在生长发育过程中，根系向根际环境释放化学物质的总称，是一个多组分、复杂的非均一体系，具体是指根系溢出或分泌的大量质子、离子和各种有机物质，其中部分小分子化学物质结构复杂且具有生物活性。这些成分主要包括糖类、氨基酸类、有机酸类、甾醇类、蛋白质、生长因子等，具有营养供给、提高植物营养吸收、种间识别与信号传导等功能，是介导植物</w:t>
      </w:r>
      <w:r>
        <w:rPr>
          <w:rFonts w:ascii="Times New Roman" w:hAnsi="Times New Roman" w:eastAsia="宋体" w:cs="Times New Roman"/>
          <w:sz w:val="24"/>
          <w:szCs w:val="21"/>
        </w:rPr>
        <w:t>-</w:t>
      </w:r>
      <w:r>
        <w:rPr>
          <w:rFonts w:hint="eastAsia" w:ascii="Times New Roman" w:hAnsi="Times New Roman" w:eastAsia="宋体" w:cs="Times New Roman"/>
          <w:sz w:val="24"/>
          <w:szCs w:val="21"/>
        </w:rPr>
        <w:t>植物、植物</w:t>
      </w:r>
      <w:r>
        <w:rPr>
          <w:rFonts w:ascii="Times New Roman" w:hAnsi="Times New Roman" w:eastAsia="宋体" w:cs="Times New Roman"/>
          <w:sz w:val="24"/>
          <w:szCs w:val="21"/>
        </w:rPr>
        <w:t>-</w:t>
      </w:r>
      <w:r>
        <w:rPr>
          <w:rFonts w:hint="eastAsia" w:ascii="Times New Roman" w:hAnsi="Times New Roman" w:eastAsia="宋体" w:cs="Times New Roman"/>
          <w:sz w:val="24"/>
          <w:szCs w:val="21"/>
        </w:rPr>
        <w:t>土壤、植物</w:t>
      </w:r>
      <w:r>
        <w:rPr>
          <w:rFonts w:ascii="Times New Roman" w:hAnsi="Times New Roman" w:eastAsia="宋体" w:cs="Times New Roman"/>
          <w:sz w:val="24"/>
          <w:szCs w:val="21"/>
        </w:rPr>
        <w:t>-</w:t>
      </w:r>
      <w:r>
        <w:rPr>
          <w:rFonts w:hint="eastAsia" w:ascii="Times New Roman" w:hAnsi="Times New Roman" w:eastAsia="宋体" w:cs="Times New Roman"/>
          <w:sz w:val="24"/>
          <w:szCs w:val="21"/>
        </w:rPr>
        <w:t>微生物间的相互作用的纽带。其中，各种有机物质是主要组成部分，可反应出植物的碳素消耗。根系分泌物因含有生命中的基础物质元素，因而在植物与根际环境对话中扮演着不可或缺的角色。研究证明根系与相邻根系通过特定的方式相互影响，这不仅依赖于相邻根系的种类，还与根系分泌物有关。</w:t>
      </w:r>
    </w:p>
    <w:p w14:paraId="0A7A8C65">
      <w:pPr>
        <w:pStyle w:val="44"/>
        <w:numPr>
          <w:ilvl w:val="255"/>
          <w:numId w:val="0"/>
        </w:num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4、土壤环境</w:t>
      </w:r>
    </w:p>
    <w:p w14:paraId="57948639">
      <w:p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植物的表型是由环境与基因型相互作用的结果，植物通过改变理化性质，可以调节它们的生长环境。在植物发生种间交流时，酸性磷酸酶等土壤中酶的活性、根际</w:t>
      </w:r>
      <w:r>
        <w:rPr>
          <w:rFonts w:ascii="Times New Roman" w:hAnsi="Times New Roman" w:eastAsia="宋体" w:cs="Times New Roman"/>
          <w:sz w:val="24"/>
          <w:szCs w:val="21"/>
        </w:rPr>
        <w:t>pH</w:t>
      </w:r>
      <w:r>
        <w:rPr>
          <w:rFonts w:hint="eastAsia" w:ascii="Times New Roman" w:hAnsi="Times New Roman" w:eastAsia="宋体" w:cs="Times New Roman"/>
          <w:sz w:val="24"/>
          <w:szCs w:val="21"/>
        </w:rPr>
        <w:t>、团粒结构、有机质、氮磷钾元素含量等构成了土壤环境的综合因子，这些因素改变着土壤肥力，继而影响植物对营养物质的吸收及生长状况。在林地条件下，森林树木和作物的结合可以提高土地利用效率，清除杂草，保持土壤一定的温度，并保护土壤水分的流失。环境是植物生长的基础，且影响因子变化复杂，因此要注意植物间作用的关键因子研究。</w:t>
      </w:r>
    </w:p>
    <w:p w14:paraId="707FA2C9">
      <w:pPr>
        <w:pStyle w:val="44"/>
        <w:numPr>
          <w:ilvl w:val="255"/>
          <w:numId w:val="0"/>
        </w:num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5、根际微生物</w:t>
      </w:r>
    </w:p>
    <w:p w14:paraId="19828ED9">
      <w:p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植物并非独立存在，而是与多样化的微生物共存，在环境、植物与微生物、以及微生物与微生物之间的相互作用下共同塑造植物相关的微生物群落。微生物在生态系统有机物分解、促进元素循环以及动植物的生理过程中担任着至关重要的作用。近年来，大量研究表明，地下根际微生物在植物生长、发育和健康中发挥着重要作用。根系分泌物与根际微生物有紧密的互作关系，构成植物</w:t>
      </w:r>
      <w:r>
        <w:rPr>
          <w:rFonts w:ascii="Times New Roman" w:hAnsi="Times New Roman" w:eastAsia="宋体" w:cs="Times New Roman"/>
          <w:sz w:val="24"/>
          <w:szCs w:val="21"/>
        </w:rPr>
        <w:t>-</w:t>
      </w:r>
      <w:r>
        <w:rPr>
          <w:rFonts w:hint="eastAsia" w:ascii="Times New Roman" w:hAnsi="Times New Roman" w:eastAsia="宋体" w:cs="Times New Roman"/>
          <w:sz w:val="24"/>
          <w:szCs w:val="21"/>
        </w:rPr>
        <w:t>微生物互作系统，根系分泌物可以塑造根际微生物群来驱动土壤对植物生长和防御的反馈。土壤中微生物多样性的平衡有助于增强植物根系的防御能力。植物根系分泌物促进或抑制土壤微生物活性，对改变土壤微生态环境有重大的意义。</w:t>
      </w:r>
    </w:p>
    <w:p w14:paraId="6695F102">
      <w:p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（四）林下种植耕作制度</w:t>
      </w:r>
    </w:p>
    <w:p w14:paraId="105E1978">
      <w:p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林下种植是一种复合种植模式，采用适宜的种植制度是构建出合理的林地种间互作关系、实现林地生产力和综合效益最大化的重要手段。同时，耕作制度的建立必须以生态承载力为基础，采取适量、适度、合理的原则，确保林地可持续发展。林下种植制度主要包括间作、套作、混作、轮作和连作等。</w:t>
      </w:r>
    </w:p>
    <w:p w14:paraId="558C15AE">
      <w:pPr>
        <w:spacing w:line="360" w:lineRule="auto"/>
        <w:ind w:firstLine="480" w:firstLineChars="200"/>
        <w:rPr>
          <w:rFonts w:ascii="Times New Roman" w:hAnsi="Times New Roman" w:eastAsia="宋体" w:cs="Times New Roman"/>
          <w:sz w:val="24"/>
          <w:szCs w:val="21"/>
        </w:rPr>
      </w:pPr>
      <w:bookmarkStart w:id="23" w:name="_Toc155452801"/>
      <w:r>
        <w:rPr>
          <w:rFonts w:ascii="Times New Roman" w:hAnsi="Times New Roman" w:eastAsia="宋体" w:cs="Times New Roman"/>
          <w:sz w:val="24"/>
          <w:szCs w:val="21"/>
        </w:rPr>
        <w:t>1</w:t>
      </w:r>
      <w:r>
        <w:rPr>
          <w:rFonts w:hint="eastAsia" w:ascii="Times New Roman" w:hAnsi="Times New Roman" w:eastAsia="宋体" w:cs="Times New Roman"/>
          <w:sz w:val="24"/>
          <w:szCs w:val="21"/>
        </w:rPr>
        <w:t>、间作（伴生）、套种及混作</w:t>
      </w:r>
      <w:bookmarkEnd w:id="23"/>
    </w:p>
    <w:p w14:paraId="51624C2A">
      <w:p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间作是指在同一地块里，成行或带状间隔地同时种植两种以上生长期相似的植物。与单作不同，间作是不同种植植物在田间构成人工复合群体，个体之间既有种内关系，又有种间关系。间作时，不论间作的作物有几种，皆不增计复种面积。间作的植物播种期、收获期相同或不相同，但植物共处期长，其中至少有一种植物的共处期超过其全生育期的一半。它主要是一种集约利用空间的种植方式。</w:t>
      </w:r>
    </w:p>
    <w:p w14:paraId="3CC868F9">
      <w:p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伴生栽培是间作的一种特殊形式，指在主栽作物旁边栽种具有特殊功能的伴生植物，并不以收获产量为主要目的的栽培方式，伴生栽培通过植物根系互作改善根际环境，如提高根际土中养分的含量、酶的活性、改变土壤中微生物群落结构等，从而达到促进主栽植物的生长、提高主栽植物的养分吸收、抑制土传病害发生的目的。</w:t>
      </w:r>
    </w:p>
    <w:p w14:paraId="0493A268">
      <w:p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套作是指在前季植物生长后期的株行间播种或移栽后季植物的种植方式。与单作相比，它不仅能阶段性地充分利用空间，更重要的是能延长后季植物对生长季节的利用，提高复种指数，提高年总产量。它主要是一种集约利用时间的种植方式。</w:t>
      </w:r>
    </w:p>
    <w:p w14:paraId="3955DB78">
      <w:p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间种和套种的操作方法不同，间种就是按照一定行数比例间隔，所种植两类以上的作物，而且种植的时间也是相同的。而套种是指在前一季作物生长的后期间隔进行种植，或者是移栽后季作物，种植的时间是不一样的，一般情况下都是一前一后进行的。此外，间种作物高低不同，套种则可以相同。</w:t>
      </w:r>
    </w:p>
    <w:p w14:paraId="6212F58F">
      <w:p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混作是指在同一块地上，同时或同季节将两种或两种以上生育期相近的植物按一定比例混合撒播或同行种植。混作与间作都是由两种或两种以上生育期相近的植物在田间构成复合群体，从而提高种植密度，充分利用空间，增加光能和土地利用率。两者只是配置形式不同，间作利用行间，混作利用株间。在生产上，有时把间作和混作结合起来。</w:t>
      </w:r>
    </w:p>
    <w:p w14:paraId="530A4DF7">
      <w:p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立体种植是指在同一土地上，两种或两种以上的作物（包括木本植物）从平面、时间上多层次地利用空间的种植方式。立体种植形成了一个多层次的“绿化器”，使能量、物质转化效率及生物产量均比单一纯（林）种显著提高。</w:t>
      </w:r>
    </w:p>
    <w:p w14:paraId="077C474C">
      <w:p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间作、套作、混作是在人为调节下，充分利用不同植物间某些互利关系，减少竞争，组成合理的复合群体结构，使复合群体既有较大的叶面积，延长光能利用时间或提高群体的光合效率又有良好的通风透光条件和多种抗逆性，以便更好地适应不良的环境条件，充分利用光能和地力，保证稳产增收。如果选择植物种类不当，套作时间过长，几种植物搭配比例和行株距不适宜，即不合理的间混套作，都会增加植物间的竞争而导致减产。</w:t>
      </w:r>
    </w:p>
    <w:p w14:paraId="5692BB53">
      <w:pPr>
        <w:spacing w:line="360" w:lineRule="auto"/>
        <w:ind w:firstLine="480" w:firstLineChars="200"/>
        <w:rPr>
          <w:rFonts w:ascii="Times New Roman" w:hAnsi="Times New Roman" w:eastAsia="宋体" w:cs="Times New Roman"/>
          <w:sz w:val="24"/>
          <w:szCs w:val="21"/>
        </w:rPr>
      </w:pPr>
      <w:bookmarkStart w:id="24" w:name="_Toc155452802"/>
      <w:r>
        <w:rPr>
          <w:rFonts w:ascii="Times New Roman" w:hAnsi="Times New Roman" w:eastAsia="宋体" w:cs="Times New Roman"/>
          <w:sz w:val="24"/>
          <w:szCs w:val="21"/>
        </w:rPr>
        <w:t>2</w:t>
      </w:r>
      <w:r>
        <w:rPr>
          <w:rFonts w:hint="eastAsia" w:ascii="Times New Roman" w:hAnsi="Times New Roman" w:eastAsia="宋体" w:cs="Times New Roman"/>
          <w:sz w:val="24"/>
          <w:szCs w:val="21"/>
        </w:rPr>
        <w:t>、轮作与连作</w:t>
      </w:r>
      <w:bookmarkEnd w:id="24"/>
    </w:p>
    <w:p w14:paraId="7418B660">
      <w:p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轮作是指在同一田地上有顺序地轮换种植不同植物的栽培方式。连作与轮作相反，是在同一田地上连年种植相同作物的种植方式。而在同一田地上采用同一种复种方式称为复种连作。</w:t>
      </w:r>
    </w:p>
    <w:p w14:paraId="5EE789FF">
      <w:p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目前，在栽培的药用植物中，根类药材占</w:t>
      </w:r>
      <w:r>
        <w:rPr>
          <w:rFonts w:ascii="Times New Roman" w:hAnsi="Times New Roman" w:eastAsia="宋体" w:cs="Times New Roman"/>
          <w:sz w:val="24"/>
          <w:szCs w:val="21"/>
        </w:rPr>
        <w:t>70%</w:t>
      </w:r>
      <w:r>
        <w:rPr>
          <w:rFonts w:hint="eastAsia" w:ascii="Times New Roman" w:hAnsi="Times New Roman" w:eastAsia="宋体" w:cs="Times New Roman"/>
          <w:sz w:val="24"/>
          <w:szCs w:val="21"/>
        </w:rPr>
        <w:t>左右，并且存在着一个突出问题，即绝大多数根类药材“忌”连作，在同一块土壤中连续栽培同种或同科作物时，即使在正常的栽培管理状况下，也会出现生长势变弱、产量降低、品质下降、病虫害严重的现象，这在我国被称为连作障碍。</w:t>
      </w:r>
    </w:p>
    <w:p w14:paraId="73538BC2">
      <w:p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连作障碍形成及加重的原因复杂多样，各因素相互关联相互影响，是植物</w:t>
      </w:r>
      <w:r>
        <w:rPr>
          <w:rFonts w:ascii="Times New Roman" w:hAnsi="Times New Roman" w:eastAsia="宋体" w:cs="Times New Roman"/>
          <w:sz w:val="24"/>
          <w:szCs w:val="21"/>
        </w:rPr>
        <w:t>-</w:t>
      </w:r>
      <w:r>
        <w:rPr>
          <w:rFonts w:hint="eastAsia" w:ascii="Times New Roman" w:hAnsi="Times New Roman" w:eastAsia="宋体" w:cs="Times New Roman"/>
          <w:sz w:val="24"/>
          <w:szCs w:val="21"/>
        </w:rPr>
        <w:t>土壤系统内多种因素综合作用的结果。目前普遍认为产生连作障碍的原因归纳为以下五个方面：即土传真菌病害加重、线虫增多、化感作用、作物对营养元素的片面吸收和土壤理化性状恶化。随着现代分析技术的发展，学科间的相互渗透，探明土壤依赖型林下种植类型连作障碍成因是有效克服和解决连作障碍问题成为研究的热点。现有的一些研究认为造成连作障碍的主要原因有三：①土壤肥力下降；②药用植物根系分泌物的自毒作用；③病原微生物数量增加，病虫害加剧。在中药材生产中，药用植物与土壤相互作用形成一个以根际为中心的根际微生态系统，连作所引起的土壤理化性状的改变及植物根系分泌物和残茬在土壤中的长期存留，使根际微生态系统中的微生物群体结构发生改变，这些生物的代谢产物积累有可能抑制植物的生长，药用植物产生的大量次生代谢产物，使害虫卵孵化、群体数量增加，侵染植物给植物造成严重伤害，造成连作障碍的发生。</w:t>
      </w:r>
    </w:p>
    <w:p w14:paraId="16E6AC45">
      <w:pPr>
        <w:spacing w:line="360" w:lineRule="auto"/>
        <w:ind w:firstLine="480" w:firstLineChars="200"/>
        <w:rPr>
          <w:rFonts w:ascii="Times New Roman" w:hAnsi="Times New Roman" w:eastAsia="宋体" w:cs="Times New Roman"/>
          <w:sz w:val="24"/>
          <w:szCs w:val="21"/>
        </w:rPr>
      </w:pPr>
      <w:r>
        <w:rPr>
          <w:rFonts w:hint="eastAsia" w:ascii="Times New Roman" w:hAnsi="Times New Roman" w:eastAsia="宋体" w:cs="Times New Roman"/>
          <w:sz w:val="24"/>
          <w:szCs w:val="21"/>
        </w:rPr>
        <w:t>林下栽培黄精时上层林木品种主要考虑地上部分与地下部分空间结构互补性和化感作用关系，深根高大的多数乔木树种林下均适宜种植黄精，空间结构上没有矛盾而相互补充，矮小灌木类则地上部分枝叶低矮和地下根系浅均与黄精容易发生竞争关系，竹林之类浅根系也与黄精地下部分发生竞争关系，还有樟树、桉树等树种分泌物可能对黄精生长发育产生影响。如下述多花黄精栽培不同林分下大多数表现良好，在毛竹林的林缘生长良好而林内较差，而在樟树林下则明显生长不够旺盛。</w:t>
      </w:r>
    </w:p>
    <w:p w14:paraId="1D5B1AEE">
      <w:pPr>
        <w:spacing w:line="360" w:lineRule="auto"/>
        <w:ind w:firstLine="480" w:firstLineChars="200"/>
        <w:rPr>
          <w:rFonts w:ascii="Times New Roman" w:hAnsi="Times New Roman" w:eastAsia="宋体" w:cs="Times New Roman"/>
          <w:bCs/>
          <w:sz w:val="24"/>
          <w:szCs w:val="24"/>
        </w:rPr>
      </w:pPr>
      <w:r>
        <w:rPr>
          <w:rFonts w:ascii="Times New Roman" w:hAnsi="Times New Roman" w:eastAsia="宋体" w:cs="Times New Roman"/>
          <w:bCs/>
          <w:sz w:val="24"/>
          <w:szCs w:val="24"/>
        </w:rPr>
        <w:t>7.</w:t>
      </w:r>
      <w:r>
        <w:rPr>
          <w:rFonts w:hint="eastAsia" w:ascii="Times New Roman" w:hAnsi="Times New Roman" w:eastAsia="宋体" w:cs="Times New Roman"/>
          <w:bCs/>
          <w:sz w:val="24"/>
          <w:szCs w:val="24"/>
        </w:rPr>
        <w:t>4</w:t>
      </w:r>
      <w:r>
        <w:rPr>
          <w:rFonts w:ascii="Times New Roman" w:hAnsi="Times New Roman" w:eastAsia="宋体" w:cs="Times New Roman"/>
          <w:bCs/>
          <w:sz w:val="24"/>
          <w:szCs w:val="24"/>
        </w:rPr>
        <w:t xml:space="preserve">.2 </w:t>
      </w:r>
      <w:r>
        <w:rPr>
          <w:rFonts w:hint="eastAsia" w:ascii="Times New Roman" w:hAnsi="Times New Roman" w:eastAsia="宋体" w:cs="Times New Roman"/>
          <w:bCs/>
          <w:sz w:val="24"/>
          <w:szCs w:val="24"/>
        </w:rPr>
        <w:t>鼓励</w:t>
      </w:r>
      <w:r>
        <w:rPr>
          <w:rFonts w:ascii="Times New Roman" w:hAnsi="Times New Roman" w:eastAsia="宋体" w:cs="Times New Roman"/>
          <w:bCs/>
          <w:sz w:val="24"/>
          <w:szCs w:val="24"/>
        </w:rPr>
        <w:t>GAP</w:t>
      </w:r>
      <w:r>
        <w:rPr>
          <w:rFonts w:hint="eastAsia" w:ascii="Times New Roman" w:hAnsi="Times New Roman" w:eastAsia="宋体" w:cs="Times New Roman"/>
          <w:bCs/>
          <w:sz w:val="24"/>
          <w:szCs w:val="24"/>
        </w:rPr>
        <w:t>生产基地的备案论证</w:t>
      </w:r>
    </w:p>
    <w:p w14:paraId="18D8F7C5">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实施</w:t>
      </w:r>
      <w:r>
        <w:rPr>
          <w:rFonts w:ascii="Times New Roman" w:hAnsi="Times New Roman" w:eastAsia="宋体" w:cs="Times New Roman"/>
          <w:sz w:val="24"/>
          <w:szCs w:val="24"/>
        </w:rPr>
        <w:t>GAP</w:t>
      </w:r>
      <w:r>
        <w:rPr>
          <w:rFonts w:hint="eastAsia" w:ascii="Times New Roman" w:hAnsi="Times New Roman" w:eastAsia="宋体" w:cs="Times New Roman"/>
          <w:sz w:val="24"/>
          <w:szCs w:val="24"/>
        </w:rPr>
        <w:t>生产才能有助于很快形成规模的稳定的品质保障，也能实现优质优价。</w:t>
      </w:r>
    </w:p>
    <w:p w14:paraId="54874018">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2022</w:t>
      </w:r>
      <w:r>
        <w:rPr>
          <w:rFonts w:hint="eastAsia" w:ascii="Times New Roman" w:hAnsi="Times New Roman" w:eastAsia="宋体" w:cs="Times New Roman"/>
          <w:sz w:val="24"/>
          <w:szCs w:val="24"/>
        </w:rPr>
        <w:t>年</w:t>
      </w:r>
      <w:r>
        <w:rPr>
          <w:rFonts w:ascii="Times New Roman" w:hAnsi="Times New Roman" w:eastAsia="宋体" w:cs="Times New Roman"/>
          <w:sz w:val="24"/>
          <w:szCs w:val="24"/>
        </w:rPr>
        <w:t>3</w:t>
      </w:r>
      <w:r>
        <w:rPr>
          <w:rFonts w:hint="eastAsia" w:ascii="Times New Roman" w:hAnsi="Times New Roman" w:eastAsia="宋体" w:cs="Times New Roman"/>
          <w:sz w:val="24"/>
          <w:szCs w:val="24"/>
        </w:rPr>
        <w:t>月</w:t>
      </w:r>
      <w:r>
        <w:rPr>
          <w:rFonts w:ascii="Times New Roman" w:hAnsi="Times New Roman" w:eastAsia="宋体" w:cs="Times New Roman"/>
          <w:sz w:val="24"/>
          <w:szCs w:val="24"/>
        </w:rPr>
        <w:t>17</w:t>
      </w:r>
      <w:r>
        <w:rPr>
          <w:rFonts w:hint="eastAsia" w:ascii="Times New Roman" w:hAnsi="Times New Roman" w:eastAsia="宋体" w:cs="Times New Roman"/>
          <w:sz w:val="24"/>
          <w:szCs w:val="24"/>
        </w:rPr>
        <w:t>日，国家药监局、农业农村部、国家林草局、国家中医药局联合发布了《中药材生产质量管理规范》（</w:t>
      </w:r>
      <w:r>
        <w:rPr>
          <w:rFonts w:ascii="Times New Roman" w:hAnsi="Times New Roman" w:eastAsia="宋体" w:cs="Times New Roman"/>
          <w:sz w:val="24"/>
          <w:szCs w:val="24"/>
        </w:rPr>
        <w:t>Good Agricultural Practice for Chinese Crude Drugs</w:t>
      </w:r>
      <w:r>
        <w:rPr>
          <w:rFonts w:hint="eastAsia" w:ascii="Times New Roman" w:hAnsi="Times New Roman" w:eastAsia="宋体" w:cs="Times New Roman"/>
          <w:sz w:val="24"/>
          <w:szCs w:val="24"/>
        </w:rPr>
        <w:t>），简称中药材</w:t>
      </w:r>
      <w:r>
        <w:rPr>
          <w:rFonts w:ascii="Times New Roman" w:hAnsi="Times New Roman" w:eastAsia="宋体" w:cs="Times New Roman"/>
          <w:sz w:val="24"/>
          <w:szCs w:val="24"/>
        </w:rPr>
        <w:t>GAP</w:t>
      </w:r>
      <w:r>
        <w:rPr>
          <w:rFonts w:hint="eastAsia" w:ascii="Times New Roman" w:hAnsi="Times New Roman" w:eastAsia="宋体" w:cs="Times New Roman"/>
          <w:sz w:val="24"/>
          <w:szCs w:val="24"/>
        </w:rPr>
        <w:t>【</w:t>
      </w:r>
      <w:r>
        <w:rPr>
          <w:rFonts w:ascii="Times New Roman" w:hAnsi="Times New Roman" w:eastAsia="宋体" w:cs="Times New Roman"/>
          <w:sz w:val="24"/>
          <w:szCs w:val="24"/>
        </w:rPr>
        <w:t>2022</w:t>
      </w:r>
      <w:r>
        <w:rPr>
          <w:rFonts w:hint="eastAsia" w:ascii="Times New Roman" w:hAnsi="Times New Roman" w:eastAsia="宋体" w:cs="Times New Roman"/>
          <w:sz w:val="24"/>
          <w:szCs w:val="24"/>
        </w:rPr>
        <w:t>年第</w:t>
      </w:r>
      <w:r>
        <w:rPr>
          <w:rFonts w:ascii="Times New Roman" w:hAnsi="Times New Roman" w:eastAsia="宋体" w:cs="Times New Roman"/>
          <w:sz w:val="24"/>
          <w:szCs w:val="24"/>
        </w:rPr>
        <w:t>22</w:t>
      </w:r>
      <w:r>
        <w:rPr>
          <w:rFonts w:hint="eastAsia" w:ascii="Times New Roman" w:hAnsi="Times New Roman" w:eastAsia="宋体" w:cs="Times New Roman"/>
          <w:sz w:val="24"/>
          <w:szCs w:val="24"/>
        </w:rPr>
        <w:t>号公告】。中药材</w:t>
      </w:r>
      <w:r>
        <w:rPr>
          <w:rFonts w:ascii="Times New Roman" w:hAnsi="Times New Roman" w:eastAsia="宋体" w:cs="Times New Roman"/>
          <w:sz w:val="24"/>
          <w:szCs w:val="24"/>
        </w:rPr>
        <w:t>GAP</w:t>
      </w:r>
      <w:r>
        <w:rPr>
          <w:rFonts w:hint="eastAsia" w:ascii="Times New Roman" w:hAnsi="Times New Roman" w:eastAsia="宋体" w:cs="Times New Roman"/>
          <w:sz w:val="24"/>
          <w:szCs w:val="24"/>
        </w:rPr>
        <w:t>旨在确保中药材真实、安全、有效及品质稳定，通过控制中药材生产和品质的各种影响因素，规范生产全过程。</w:t>
      </w:r>
      <w:r>
        <w:rPr>
          <w:rFonts w:ascii="Times New Roman" w:hAnsi="Times New Roman" w:eastAsia="宋体" w:cs="Times New Roman"/>
          <w:sz w:val="24"/>
          <w:szCs w:val="24"/>
        </w:rPr>
        <w:t>GAP</w:t>
      </w:r>
      <w:r>
        <w:rPr>
          <w:rFonts w:hint="eastAsia" w:ascii="Times New Roman" w:hAnsi="Times New Roman" w:eastAsia="宋体" w:cs="Times New Roman"/>
          <w:sz w:val="24"/>
          <w:szCs w:val="24"/>
        </w:rPr>
        <w:t>基地建设过程中，质量管理的核心在于针对特定中药材评估生长全过程的质量风险的关键环节，遵从禁止性规定，并采取“六统一、可追溯”的控制措施，以实现药材质量稳定、均一和可控。“六个统一”指的是统一规划生产基地、</w:t>
      </w:r>
      <w:r>
        <w:rPr>
          <w:rFonts w:ascii="Times New Roman" w:hAnsi="Times New Roman" w:eastAsia="宋体" w:cs="Times New Roman"/>
          <w:sz w:val="24"/>
          <w:szCs w:val="24"/>
        </w:rPr>
        <w:t xml:space="preserve"> </w:t>
      </w:r>
      <w:r>
        <w:rPr>
          <w:rFonts w:hint="eastAsia" w:ascii="Times New Roman" w:hAnsi="Times New Roman" w:eastAsia="宋体" w:cs="Times New Roman"/>
          <w:sz w:val="24"/>
          <w:szCs w:val="24"/>
        </w:rPr>
        <w:t>统一供应种子种苗、统一肥料和农药等投入品管理措施、统一种植或养殖技术规程、</w:t>
      </w:r>
      <w:r>
        <w:rPr>
          <w:rFonts w:ascii="Times New Roman" w:hAnsi="Times New Roman" w:eastAsia="宋体" w:cs="Times New Roman"/>
          <w:sz w:val="24"/>
          <w:szCs w:val="24"/>
        </w:rPr>
        <w:t xml:space="preserve"> </w:t>
      </w:r>
      <w:r>
        <w:rPr>
          <w:rFonts w:hint="eastAsia" w:ascii="Times New Roman" w:hAnsi="Times New Roman" w:eastAsia="宋体" w:cs="Times New Roman"/>
          <w:sz w:val="24"/>
          <w:szCs w:val="24"/>
        </w:rPr>
        <w:t>统一采收及产地加工技术规程及统一包装与贮存技术规程。整个生产过程全程可追溯。</w:t>
      </w:r>
    </w:p>
    <w:p w14:paraId="11AB93D9">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这一规范以中药材质量为核心，倡导“良种壮苗（遗传）”</w:t>
      </w:r>
      <w:r>
        <w:rPr>
          <w:rFonts w:ascii="Times New Roman" w:hAnsi="Times New Roman" w:eastAsia="宋体" w:cs="Times New Roman"/>
          <w:sz w:val="24"/>
          <w:szCs w:val="24"/>
        </w:rPr>
        <w:t xml:space="preserve"> </w:t>
      </w:r>
      <w:r>
        <w:rPr>
          <w:rFonts w:hint="eastAsia" w:ascii="Times New Roman" w:hAnsi="Times New Roman" w:eastAsia="宋体" w:cs="Times New Roman"/>
          <w:sz w:val="24"/>
          <w:szCs w:val="24"/>
        </w:rPr>
        <w:t>与“好环境生产好药材”的理念，强调环境友好、资源高效利用、鼓励质量农业现代化、生态协同和资源节约，是一种高效集约的规范化生产方式。同时我们实施</w:t>
      </w:r>
      <w:r>
        <w:rPr>
          <w:rFonts w:ascii="Times New Roman" w:hAnsi="Times New Roman" w:eastAsia="宋体" w:cs="Times New Roman"/>
          <w:sz w:val="24"/>
          <w:szCs w:val="24"/>
        </w:rPr>
        <w:t>GAP</w:t>
      </w:r>
      <w:r>
        <w:rPr>
          <w:rFonts w:hint="eastAsia" w:ascii="Times New Roman" w:hAnsi="Times New Roman" w:eastAsia="宋体" w:cs="Times New Roman"/>
          <w:sz w:val="24"/>
          <w:szCs w:val="24"/>
        </w:rPr>
        <w:t>的企业，可在药品标签上标示“药材符合</w:t>
      </w:r>
      <w:r>
        <w:rPr>
          <w:rFonts w:ascii="Times New Roman" w:hAnsi="Times New Roman" w:eastAsia="宋体" w:cs="Times New Roman"/>
          <w:sz w:val="24"/>
          <w:szCs w:val="24"/>
        </w:rPr>
        <w:t>GAP</w:t>
      </w:r>
      <w:r>
        <w:rPr>
          <w:rFonts w:hint="eastAsia" w:ascii="Times New Roman" w:hAnsi="Times New Roman" w:eastAsia="宋体" w:cs="Times New Roman"/>
          <w:sz w:val="24"/>
          <w:szCs w:val="24"/>
        </w:rPr>
        <w:t>要求”，彰显质量和品牌，提升市场价值。因此，实施</w:t>
      </w:r>
      <w:r>
        <w:rPr>
          <w:rFonts w:ascii="Times New Roman" w:hAnsi="Times New Roman" w:eastAsia="宋体" w:cs="Times New Roman"/>
          <w:sz w:val="24"/>
          <w:szCs w:val="24"/>
        </w:rPr>
        <w:t>GAP</w:t>
      </w:r>
      <w:r>
        <w:rPr>
          <w:rFonts w:hint="eastAsia" w:ascii="Times New Roman" w:hAnsi="Times New Roman" w:eastAsia="宋体" w:cs="Times New Roman"/>
          <w:sz w:val="24"/>
          <w:szCs w:val="24"/>
        </w:rPr>
        <w:t>管理的药材在市场上具备“优质优价”的优势。</w:t>
      </w:r>
      <w:r>
        <w:rPr>
          <w:rFonts w:ascii="Times New Roman" w:hAnsi="Times New Roman" w:eastAsia="宋体" w:cs="Times New Roman"/>
          <w:sz w:val="24"/>
          <w:szCs w:val="24"/>
        </w:rPr>
        <w:t>GAP</w:t>
      </w:r>
      <w:r>
        <w:rPr>
          <w:rFonts w:hint="eastAsia" w:ascii="Times New Roman" w:hAnsi="Times New Roman" w:eastAsia="宋体" w:cs="Times New Roman"/>
          <w:sz w:val="24"/>
          <w:szCs w:val="24"/>
        </w:rPr>
        <w:t>产业要先有优质才有优价，对影响质量的突出的共性技术难点：良种缺乏及繁育困难；种植低产低效的机械化；产地初加工粗放的机械化规范化；质量不均一稳定与可追溯性差等一系列质量。</w:t>
      </w:r>
    </w:p>
    <w:p w14:paraId="6E62A44B">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这些都与本次绿色生态团体标准的目标高度吻合。所以我们增加本条款：鼓励</w:t>
      </w:r>
      <w:r>
        <w:rPr>
          <w:rFonts w:ascii="Times New Roman" w:hAnsi="Times New Roman" w:eastAsia="宋体" w:cs="Times New Roman"/>
          <w:sz w:val="24"/>
          <w:szCs w:val="24"/>
        </w:rPr>
        <w:t>GAP</w:t>
      </w:r>
      <w:r>
        <w:rPr>
          <w:rFonts w:hint="eastAsia" w:ascii="Times New Roman" w:hAnsi="Times New Roman" w:eastAsia="宋体" w:cs="Times New Roman"/>
          <w:sz w:val="24"/>
          <w:szCs w:val="24"/>
        </w:rPr>
        <w:t>生产基地的备案与认证工作。</w:t>
      </w:r>
    </w:p>
    <w:p w14:paraId="37B6B256">
      <w:pPr>
        <w:pStyle w:val="24"/>
        <w:shd w:val="clear" w:color="auto" w:fill="FFFFFF"/>
        <w:spacing w:beforeAutospacing="0" w:after="0" w:afterAutospacing="0" w:line="360" w:lineRule="auto"/>
        <w:ind w:firstLine="480" w:firstLineChars="200"/>
        <w:jc w:val="both"/>
        <w:rPr>
          <w:rFonts w:ascii="Times New Roman" w:hAnsi="Times New Roman" w:cs="Times New Roman"/>
          <w:bCs/>
        </w:rPr>
      </w:pPr>
      <w:r>
        <w:rPr>
          <w:rFonts w:ascii="Times New Roman" w:hAnsi="Times New Roman" w:cs="Times New Roman"/>
          <w:bCs/>
        </w:rPr>
        <w:t xml:space="preserve">7.5 </w:t>
      </w:r>
      <w:r>
        <w:rPr>
          <w:rFonts w:hint="eastAsia" w:ascii="Times New Roman" w:hAnsi="Times New Roman" w:cs="Times New Roman"/>
          <w:bCs/>
        </w:rPr>
        <w:t>生态协同</w:t>
      </w:r>
    </w:p>
    <w:p w14:paraId="250A159B">
      <w:pPr>
        <w:pStyle w:val="24"/>
        <w:shd w:val="clear" w:color="auto" w:fill="FFFFFF"/>
        <w:spacing w:beforeAutospacing="0" w:after="0" w:afterAutospacing="0" w:line="360" w:lineRule="auto"/>
        <w:ind w:firstLine="480" w:firstLineChars="200"/>
        <w:jc w:val="both"/>
        <w:rPr>
          <w:rFonts w:ascii="Times New Roman" w:hAnsi="Times New Roman" w:cs="Times New Roman"/>
        </w:rPr>
      </w:pPr>
      <w:r>
        <w:rPr>
          <w:rFonts w:hint="eastAsia" w:ascii="Times New Roman" w:hAnsi="Times New Roman" w:cs="Times New Roman"/>
        </w:rPr>
        <w:t>与环境友好是生产的追求。强调维持生物多样性。强调有条件的结合科普、文旅与种植及环境的互动。</w:t>
      </w:r>
      <w:r>
        <w:rPr>
          <w:rFonts w:ascii="Times New Roman" w:hAnsi="Times New Roman" w:cs="Times New Roman"/>
        </w:rPr>
        <w:t>上述林下种植也是一种生态协同的友好体现。</w:t>
      </w:r>
    </w:p>
    <w:p w14:paraId="6F089B89">
      <w:pPr>
        <w:pStyle w:val="24"/>
        <w:shd w:val="clear" w:color="auto" w:fill="FFFFFF"/>
        <w:spacing w:beforeAutospacing="0" w:after="0" w:afterAutospacing="0" w:line="360" w:lineRule="auto"/>
        <w:ind w:firstLine="480" w:firstLineChars="200"/>
        <w:jc w:val="both"/>
        <w:rPr>
          <w:rFonts w:ascii="Times New Roman" w:hAnsi="Times New Roman" w:cs="Times New Roman"/>
          <w:bCs/>
        </w:rPr>
      </w:pPr>
      <w:r>
        <w:rPr>
          <w:rFonts w:ascii="Times New Roman" w:hAnsi="Times New Roman" w:cs="Times New Roman"/>
          <w:bCs/>
        </w:rPr>
        <w:t xml:space="preserve">7.6 </w:t>
      </w:r>
      <w:r>
        <w:rPr>
          <w:rFonts w:hint="eastAsia" w:ascii="Times New Roman" w:hAnsi="Times New Roman" w:cs="Times New Roman"/>
          <w:bCs/>
        </w:rPr>
        <w:t>质量评价</w:t>
      </w:r>
    </w:p>
    <w:p w14:paraId="6F2D5F87">
      <w:pPr>
        <w:pStyle w:val="24"/>
        <w:shd w:val="clear" w:color="auto" w:fill="FFFFFF"/>
        <w:spacing w:beforeAutospacing="0" w:after="0" w:afterAutospacing="0" w:line="360" w:lineRule="auto"/>
        <w:ind w:firstLine="480" w:firstLineChars="200"/>
        <w:jc w:val="both"/>
        <w:rPr>
          <w:rFonts w:ascii="Times New Roman" w:hAnsi="Times New Roman" w:cs="Times New Roman"/>
          <w:bCs/>
        </w:rPr>
      </w:pPr>
      <w:r>
        <w:rPr>
          <w:rFonts w:ascii="Times New Roman" w:hAnsi="Times New Roman" w:cs="Times New Roman"/>
          <w:bCs/>
        </w:rPr>
        <w:t xml:space="preserve">7.6.1 </w:t>
      </w:r>
      <w:r>
        <w:rPr>
          <w:rFonts w:hint="eastAsia" w:ascii="Times New Roman" w:hAnsi="Times New Roman" w:cs="Times New Roman"/>
          <w:bCs/>
        </w:rPr>
        <w:t>感官评价</w:t>
      </w:r>
    </w:p>
    <w:p w14:paraId="5574DDD9">
      <w:pPr>
        <w:pStyle w:val="24"/>
        <w:shd w:val="clear" w:color="auto" w:fill="FFFFFF"/>
        <w:spacing w:beforeAutospacing="0" w:after="0" w:afterAutospacing="0" w:line="360" w:lineRule="auto"/>
        <w:ind w:firstLine="480" w:firstLineChars="200"/>
        <w:jc w:val="both"/>
        <w:rPr>
          <w:rFonts w:ascii="Times New Roman" w:hAnsi="Times New Roman" w:cs="Times New Roman"/>
          <w:bCs/>
        </w:rPr>
      </w:pPr>
      <w:r>
        <w:rPr>
          <w:rFonts w:hint="eastAsia" w:ascii="Times New Roman" w:hAnsi="Times New Roman" w:cs="Times New Roman"/>
          <w:bCs/>
        </w:rPr>
        <w:t>（</w:t>
      </w:r>
      <w:r>
        <w:rPr>
          <w:rFonts w:ascii="Times New Roman" w:hAnsi="Times New Roman" w:cs="Times New Roman"/>
          <w:bCs/>
        </w:rPr>
        <w:t>1</w:t>
      </w:r>
      <w:r>
        <w:rPr>
          <w:rFonts w:hint="eastAsia" w:ascii="Times New Roman" w:hAnsi="Times New Roman" w:cs="Times New Roman"/>
          <w:bCs/>
        </w:rPr>
        <w:t>）外观</w:t>
      </w:r>
    </w:p>
    <w:p w14:paraId="21302C44">
      <w:pPr>
        <w:pStyle w:val="24"/>
        <w:shd w:val="clear" w:color="auto" w:fill="FFFFFF"/>
        <w:spacing w:beforeAutospacing="0" w:after="0" w:afterAutospacing="0" w:line="360" w:lineRule="auto"/>
        <w:ind w:firstLine="480" w:firstLineChars="200"/>
        <w:jc w:val="both"/>
        <w:rPr>
          <w:rFonts w:ascii="Times New Roman" w:hAnsi="Times New Roman" w:cs="Times New Roman"/>
          <w:b/>
        </w:rPr>
      </w:pPr>
      <w:r>
        <w:rPr>
          <w:rFonts w:hint="eastAsia" w:ascii="Times New Roman" w:hAnsi="Times New Roman" w:cs="Times New Roman"/>
        </w:rPr>
        <w:t>多花黄精：长条结节块状，长短不等，常数个块状结节相连。表面灰黄色或黄褐色，粗糙，有皱纹及须根痕，结节上有突出的圆盘状茎痕，圆周凹入。与《中国药典》比，本产品删去“直径</w:t>
      </w:r>
      <w:r>
        <w:rPr>
          <w:rFonts w:ascii="Times New Roman" w:hAnsi="Times New Roman" w:cs="Times New Roman"/>
        </w:rPr>
        <w:t>0.8-1. 5cm状</w:t>
      </w:r>
      <w:r>
        <w:rPr>
          <w:rFonts w:hint="eastAsia" w:ascii="Times New Roman" w:hAnsi="Times New Roman" w:cs="Times New Roman"/>
        </w:rPr>
        <w:t>的表述。原因：栽培普遍直径大，上限的理论依据严重不足。此性状不是其品质的决定性影响因素。相反，如果食用，反而普遍甜美多汁。</w:t>
      </w:r>
    </w:p>
    <w:p w14:paraId="2C2C81A9">
      <w:pPr>
        <w:pStyle w:val="24"/>
        <w:shd w:val="clear" w:color="auto" w:fill="FFFFFF"/>
        <w:spacing w:beforeAutospacing="0" w:after="0" w:afterAutospacing="0" w:line="360" w:lineRule="auto"/>
        <w:ind w:firstLine="480" w:firstLineChars="200"/>
        <w:rPr>
          <w:rFonts w:ascii="Times New Roman" w:hAnsi="Times New Roman" w:cs="Times New Roman"/>
        </w:rPr>
      </w:pPr>
      <w:r>
        <w:rPr>
          <w:rFonts w:hint="eastAsia" w:ascii="Times New Roman" w:hAnsi="Times New Roman" w:cs="Times New Roman"/>
        </w:rPr>
        <w:t>大叶黄精：滇黄精（或其变种），外观与滇黄精相似，呈肥厚肉质的结节表面淡黄色至黄棕色，块状具环节，有皱纹及须根痕，结节上侧茎痕呈圆盘状，圆周凹入，中部突出。删去“结节长可达</w:t>
      </w:r>
      <w:r>
        <w:rPr>
          <w:rFonts w:ascii="Times New Roman" w:hAnsi="Times New Roman" w:cs="Times New Roman"/>
        </w:rPr>
        <w:t>10cm</w:t>
      </w:r>
      <w:r>
        <w:rPr>
          <w:rFonts w:hint="eastAsia" w:ascii="Times New Roman" w:hAnsi="Times New Roman" w:cs="Times New Roman"/>
        </w:rPr>
        <w:t>以上，宽</w:t>
      </w:r>
      <w:r>
        <w:rPr>
          <w:rFonts w:ascii="Times New Roman" w:hAnsi="Times New Roman" w:cs="Times New Roman"/>
        </w:rPr>
        <w:t>3</w:t>
      </w:r>
      <w:r>
        <w:rPr>
          <w:rFonts w:hint="eastAsia" w:ascii="Times New Roman" w:hAnsi="Times New Roman" w:cs="Times New Roman"/>
        </w:rPr>
        <w:t>〜</w:t>
      </w:r>
      <w:r>
        <w:rPr>
          <w:rFonts w:ascii="Times New Roman" w:hAnsi="Times New Roman" w:cs="Times New Roman"/>
        </w:rPr>
        <w:t>6cm</w:t>
      </w:r>
      <w:r>
        <w:rPr>
          <w:rFonts w:hint="eastAsia" w:ascii="Times New Roman" w:hAnsi="Times New Roman" w:cs="Times New Roman"/>
        </w:rPr>
        <w:t>，厚</w:t>
      </w:r>
      <w:r>
        <w:rPr>
          <w:rFonts w:ascii="Times New Roman" w:hAnsi="Times New Roman" w:cs="Times New Roman"/>
        </w:rPr>
        <w:t>2</w:t>
      </w:r>
      <w:r>
        <w:rPr>
          <w:rFonts w:hint="eastAsia" w:ascii="Times New Roman" w:hAnsi="Times New Roman" w:cs="Times New Roman"/>
        </w:rPr>
        <w:t>〜</w:t>
      </w:r>
      <w:r>
        <w:rPr>
          <w:rFonts w:ascii="Times New Roman" w:hAnsi="Times New Roman" w:cs="Times New Roman"/>
        </w:rPr>
        <w:t>3cm宽。表面淡黄色至黄棕色，</w:t>
      </w:r>
    </w:p>
    <w:p w14:paraId="14BD41D8">
      <w:pPr>
        <w:pStyle w:val="24"/>
        <w:shd w:val="clear" w:color="auto" w:fill="FFFFFF"/>
        <w:spacing w:beforeAutospacing="0" w:after="0" w:afterAutospacing="0" w:line="360" w:lineRule="auto"/>
        <w:ind w:firstLine="480" w:firstLineChars="200"/>
        <w:rPr>
          <w:rFonts w:ascii="Times New Roman" w:hAnsi="Times New Roman" w:cs="Times New Roman"/>
          <w:bCs/>
        </w:rPr>
      </w:pPr>
      <w:r>
        <w:rPr>
          <w:rFonts w:hint="eastAsia" w:ascii="Times New Roman" w:hAnsi="Times New Roman" w:cs="Times New Roman"/>
          <w:bCs/>
        </w:rPr>
        <w:t>（</w:t>
      </w:r>
      <w:r>
        <w:rPr>
          <w:rFonts w:ascii="Times New Roman" w:hAnsi="Times New Roman" w:cs="Times New Roman"/>
          <w:bCs/>
        </w:rPr>
        <w:t>2</w:t>
      </w:r>
      <w:r>
        <w:rPr>
          <w:rFonts w:hint="eastAsia" w:ascii="Times New Roman" w:hAnsi="Times New Roman" w:cs="Times New Roman"/>
          <w:bCs/>
        </w:rPr>
        <w:t>）质地断面</w:t>
      </w:r>
    </w:p>
    <w:p w14:paraId="0B5AF527">
      <w:pPr>
        <w:pStyle w:val="24"/>
        <w:shd w:val="clear" w:color="auto" w:fill="FFFFFF"/>
        <w:spacing w:beforeAutospacing="0" w:after="0" w:afterAutospacing="0" w:line="360" w:lineRule="auto"/>
        <w:ind w:firstLine="480" w:firstLineChars="200"/>
        <w:rPr>
          <w:rFonts w:ascii="Times New Roman" w:hAnsi="Times New Roman" w:cs="Times New Roman"/>
        </w:rPr>
      </w:pPr>
      <w:r>
        <w:rPr>
          <w:rFonts w:hint="eastAsia" w:ascii="Times New Roman" w:hAnsi="Times New Roman" w:cs="Times New Roman"/>
        </w:rPr>
        <w:t>鲜黄精断面呈淡黄色至黄棕色，质脆，易折断；炮制后断面灰黄色或黄褐色，质稍硬而韧，不易折断，味甜，</w:t>
      </w:r>
      <w:r>
        <w:rPr>
          <w:rFonts w:ascii="Times New Roman" w:hAnsi="Times New Roman" w:cs="Times New Roman"/>
        </w:rPr>
        <w:t>嚼之有黏性</w:t>
      </w:r>
      <w:r>
        <w:rPr>
          <w:rFonts w:hint="eastAsia" w:ascii="Times New Roman" w:hAnsi="Times New Roman" w:cs="Times New Roman"/>
        </w:rPr>
        <w:t>。</w:t>
      </w:r>
    </w:p>
    <w:p w14:paraId="0BB441F5">
      <w:pPr>
        <w:pStyle w:val="24"/>
        <w:shd w:val="clear" w:color="auto" w:fill="FFFFFF"/>
        <w:spacing w:beforeAutospacing="0" w:after="0" w:afterAutospacing="0" w:line="360" w:lineRule="auto"/>
        <w:ind w:firstLine="480" w:firstLineChars="200"/>
        <w:rPr>
          <w:rFonts w:ascii="Times New Roman" w:hAnsi="Times New Roman" w:cs="Times New Roman"/>
        </w:rPr>
      </w:pPr>
      <w:r>
        <w:rPr>
          <w:rFonts w:hint="eastAsia" w:ascii="Times New Roman" w:hAnsi="Times New Roman" w:cs="Times New Roman"/>
        </w:rPr>
        <w:t>显微鉴别：大叶黄精：本品横切面：表皮细胞外壁较厚。薄壁组织间散有多数大的黏液细胞，内含草酸钙针晶束。维管束散列，大多为周木型。</w:t>
      </w:r>
    </w:p>
    <w:p w14:paraId="230601AF">
      <w:pPr>
        <w:pStyle w:val="24"/>
        <w:shd w:val="clear" w:color="auto" w:fill="FFFFFF"/>
        <w:spacing w:beforeAutospacing="0" w:after="0" w:afterAutospacing="0" w:line="360" w:lineRule="auto"/>
        <w:ind w:firstLine="480" w:firstLineChars="200"/>
        <w:rPr>
          <w:rFonts w:ascii="Times New Roman" w:hAnsi="Times New Roman" w:cs="Times New Roman"/>
        </w:rPr>
      </w:pPr>
      <w:r>
        <w:rPr>
          <w:rFonts w:hint="eastAsia" w:ascii="Times New Roman" w:hAnsi="Times New Roman" w:cs="Times New Roman"/>
        </w:rPr>
        <w:t>多花黄精：本品横切面：表皮细胞外壁较厚。薄壁组织间散有多数大的黏液细胞，内含草酸钙针晶束。维管束多为外韧型。</w:t>
      </w:r>
    </w:p>
    <w:p w14:paraId="7B343ADF">
      <w:pPr>
        <w:pStyle w:val="24"/>
        <w:shd w:val="clear" w:color="auto" w:fill="FFFFFF"/>
        <w:spacing w:beforeAutospacing="0" w:after="0" w:afterAutospacing="0" w:line="360" w:lineRule="auto"/>
        <w:ind w:firstLine="480" w:firstLineChars="200"/>
        <w:jc w:val="both"/>
        <w:rPr>
          <w:rFonts w:ascii="Times New Roman" w:hAnsi="Times New Roman" w:cs="Times New Roman"/>
        </w:rPr>
      </w:pPr>
      <w:r>
        <w:rPr>
          <w:rFonts w:ascii="Times New Roman" w:hAnsi="Times New Roman" w:cs="Times New Roman"/>
        </w:rPr>
        <w:t>（3</w:t>
      </w:r>
      <w:r>
        <w:rPr>
          <w:rFonts w:hint="eastAsia" w:ascii="Times New Roman" w:hAnsi="Times New Roman" w:cs="Times New Roman"/>
        </w:rPr>
        <w:t>）味</w:t>
      </w:r>
    </w:p>
    <w:p w14:paraId="66F59098">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中药材品质受原有技术条件限制，仅靠性状、气味等人用经验鉴别，缺乏客观量化的检验方法与评价手段</w:t>
      </w:r>
      <w:r>
        <w:rPr>
          <w:rFonts w:ascii="Times New Roman" w:hAnsi="Times New Roman" w:eastAsia="宋体" w:cs="Times New Roman"/>
          <w:sz w:val="24"/>
          <w:szCs w:val="24"/>
          <w:vertAlign w:val="superscript"/>
        </w:rPr>
        <w:t>[117]</w:t>
      </w:r>
      <w:r>
        <w:rPr>
          <w:rFonts w:hint="eastAsia" w:ascii="Times New Roman" w:hAnsi="Times New Roman" w:eastAsia="宋体" w:cs="Times New Roman"/>
          <w:sz w:val="24"/>
          <w:szCs w:val="24"/>
        </w:rPr>
        <w:t>。电子舌是模仿人体味觉机理的仿生检测设备，具有检测周期短、样品处理简单、检测灵敏度高、结果可靠等优点</w:t>
      </w:r>
      <w:r>
        <w:rPr>
          <w:rFonts w:ascii="Times New Roman" w:hAnsi="Times New Roman" w:eastAsia="宋体" w:cs="Times New Roman"/>
          <w:sz w:val="24"/>
          <w:szCs w:val="24"/>
          <w:vertAlign w:val="superscript"/>
        </w:rPr>
        <w:t>[133]</w:t>
      </w:r>
      <w:r>
        <w:rPr>
          <w:rFonts w:hint="eastAsia" w:ascii="Times New Roman" w:hAnsi="Times New Roman" w:eastAsia="宋体" w:cs="Times New Roman"/>
          <w:sz w:val="24"/>
          <w:szCs w:val="24"/>
        </w:rPr>
        <w:t>。目前采用电子舌技术广泛应用于食品行业中。詹慧慧对（基于糖类成分对黄精、玉竹炆法炮制质量分析研究，</w:t>
      </w:r>
      <w:r>
        <w:rPr>
          <w:rFonts w:ascii="Times New Roman" w:hAnsi="Times New Roman" w:eastAsia="宋体" w:cs="Times New Roman"/>
          <w:sz w:val="24"/>
          <w:szCs w:val="24"/>
        </w:rPr>
        <w:t>2022</w:t>
      </w:r>
      <w:r>
        <w:rPr>
          <w:rFonts w:hint="eastAsia" w:ascii="Times New Roman" w:hAnsi="Times New Roman" w:eastAsia="宋体" w:cs="Times New Roman"/>
          <w:sz w:val="24"/>
          <w:szCs w:val="24"/>
        </w:rPr>
        <w:t>年，药物分析硕士毕业论文，江西中医药大学）黄精药材及纹黄精的味采用电子舌技术进行了味觉值研究。</w:t>
      </w:r>
    </w:p>
    <w:p w14:paraId="16EE5724">
      <w:pPr>
        <w:spacing w:line="360" w:lineRule="auto"/>
        <w:ind w:firstLine="480" w:firstLineChars="200"/>
        <w:rPr>
          <w:rFonts w:ascii="Times New Roman" w:hAnsi="Times New Roman" w:eastAsia="宋体" w:cs="Times New Roman"/>
          <w:b/>
          <w:bCs/>
          <w:sz w:val="24"/>
          <w:szCs w:val="32"/>
        </w:rPr>
      </w:pPr>
      <w:bookmarkStart w:id="25" w:name="_Toc99955929"/>
      <w:r>
        <w:rPr>
          <w:rFonts w:ascii="Times New Roman" w:hAnsi="Times New Roman" w:eastAsia="宋体" w:cs="Times New Roman"/>
          <w:sz w:val="24"/>
          <w:szCs w:val="32"/>
        </w:rPr>
        <w:t xml:space="preserve">7.6.2 </w:t>
      </w:r>
      <w:r>
        <w:rPr>
          <w:rFonts w:hint="eastAsia" w:ascii="Times New Roman" w:hAnsi="Times New Roman" w:eastAsia="宋体" w:cs="Times New Roman"/>
          <w:sz w:val="24"/>
          <w:szCs w:val="32"/>
        </w:rPr>
        <w:t>黄精药材及炆黄精味觉值测定</w:t>
      </w:r>
      <w:bookmarkEnd w:id="25"/>
    </w:p>
    <w:p w14:paraId="04927D5E">
      <w:pPr>
        <w:spacing w:line="360" w:lineRule="auto"/>
        <w:ind w:firstLine="480" w:firstLineChars="200"/>
        <w:rPr>
          <w:rFonts w:ascii="Times New Roman" w:hAnsi="Times New Roman" w:eastAsia="宋体" w:cs="Times New Roman"/>
          <w:b/>
          <w:sz w:val="24"/>
          <w:szCs w:val="28"/>
        </w:rPr>
      </w:pPr>
      <w:r>
        <w:rPr>
          <w:rFonts w:ascii="Times New Roman" w:hAnsi="Times New Roman" w:eastAsia="宋体" w:cs="Times New Roman"/>
          <w:sz w:val="24"/>
          <w:szCs w:val="28"/>
        </w:rPr>
        <w:t>1</w:t>
      </w:r>
      <w:r>
        <w:rPr>
          <w:rFonts w:hint="eastAsia" w:ascii="Times New Roman" w:hAnsi="Times New Roman" w:eastAsia="宋体" w:cs="Times New Roman"/>
          <w:sz w:val="24"/>
          <w:szCs w:val="28"/>
        </w:rPr>
        <w:t>、味觉标准液的准备</w:t>
      </w:r>
    </w:p>
    <w:p w14:paraId="2EE54299">
      <w:pPr>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空白基准液的配制：精密称取</w:t>
      </w:r>
      <w:r>
        <w:rPr>
          <w:rFonts w:ascii="Times New Roman" w:hAnsi="Times New Roman" w:eastAsia="宋体" w:cs="Times New Roman"/>
          <w:sz w:val="24"/>
          <w:szCs w:val="24"/>
        </w:rPr>
        <w:t xml:space="preserve">2.2371 </w:t>
      </w:r>
      <w:r>
        <w:rPr>
          <w:rFonts w:hint="eastAsia" w:ascii="Times New Roman" w:hAnsi="Times New Roman" w:eastAsia="宋体" w:cs="Times New Roman"/>
          <w:sz w:val="24"/>
          <w:szCs w:val="24"/>
        </w:rPr>
        <w:t>g氯化钾和0.0456</w:t>
      </w:r>
      <w:r>
        <w:rPr>
          <w:rFonts w:ascii="Times New Roman" w:hAnsi="Times New Roman" w:eastAsia="宋体" w:cs="Times New Roman"/>
          <w:sz w:val="24"/>
          <w:szCs w:val="24"/>
        </w:rPr>
        <w:t xml:space="preserve"> </w:t>
      </w:r>
      <w:r>
        <w:rPr>
          <w:rFonts w:hint="eastAsia" w:ascii="Times New Roman" w:hAnsi="Times New Roman" w:eastAsia="宋体" w:cs="Times New Roman"/>
          <w:sz w:val="24"/>
          <w:szCs w:val="24"/>
        </w:rPr>
        <w:t>g酒石酸至</w:t>
      </w:r>
      <w:r>
        <w:rPr>
          <w:rFonts w:ascii="Times New Roman" w:hAnsi="Times New Roman" w:eastAsia="宋体" w:cs="Times New Roman"/>
          <w:sz w:val="24"/>
          <w:szCs w:val="24"/>
        </w:rPr>
        <w:t>1000 mL</w:t>
      </w:r>
      <w:r>
        <w:rPr>
          <w:rFonts w:hint="eastAsia" w:ascii="Times New Roman" w:hAnsi="Times New Roman" w:eastAsia="宋体" w:cs="Times New Roman"/>
          <w:sz w:val="24"/>
          <w:szCs w:val="24"/>
        </w:rPr>
        <w:t>容量瓶中，加适量超纯水溶解后再稀释并定容至刻度。</w:t>
      </w:r>
    </w:p>
    <w:p w14:paraId="1CD3A2B4">
      <w:pPr>
        <w:spacing w:line="360" w:lineRule="auto"/>
        <w:ind w:firstLine="480" w:firstLineChars="200"/>
        <w:rPr>
          <w:rFonts w:ascii="Times New Roman" w:hAnsi="Times New Roman" w:eastAsia="宋体" w:cs="Times New Roman"/>
          <w:b/>
          <w:sz w:val="24"/>
          <w:szCs w:val="28"/>
        </w:rPr>
      </w:pPr>
      <w:r>
        <w:rPr>
          <w:rFonts w:hint="eastAsia" w:ascii="Times New Roman" w:hAnsi="Times New Roman" w:eastAsia="宋体" w:cs="Times New Roman"/>
          <w:sz w:val="24"/>
          <w:szCs w:val="28"/>
        </w:rPr>
        <w:t>2、供试品制备</w:t>
      </w:r>
    </w:p>
    <w:p w14:paraId="1CA2DE1D">
      <w:pPr>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分别精密称取3.0</w:t>
      </w:r>
      <w:r>
        <w:rPr>
          <w:rFonts w:ascii="Times New Roman" w:hAnsi="Times New Roman" w:eastAsia="宋体" w:cs="Times New Roman"/>
          <w:sz w:val="24"/>
          <w:szCs w:val="24"/>
        </w:rPr>
        <w:t xml:space="preserve"> </w:t>
      </w:r>
      <w:r>
        <w:rPr>
          <w:rFonts w:hint="eastAsia" w:ascii="Times New Roman" w:hAnsi="Times New Roman" w:eastAsia="宋体" w:cs="Times New Roman"/>
          <w:sz w:val="24"/>
          <w:szCs w:val="24"/>
        </w:rPr>
        <w:t>g黄精药材、炆黄精饮片细粉于锥形瓶中，加入150</w:t>
      </w:r>
      <w:r>
        <w:rPr>
          <w:rFonts w:ascii="Times New Roman" w:hAnsi="Times New Roman" w:eastAsia="宋体" w:cs="Times New Roman"/>
          <w:sz w:val="24"/>
          <w:szCs w:val="24"/>
        </w:rPr>
        <w:t xml:space="preserve"> </w:t>
      </w:r>
      <w:r>
        <w:rPr>
          <w:rFonts w:hint="eastAsia" w:ascii="Times New Roman" w:hAnsi="Times New Roman" w:eastAsia="宋体" w:cs="Times New Roman"/>
          <w:sz w:val="24"/>
          <w:szCs w:val="24"/>
        </w:rPr>
        <w:t>mL蒸馏水中，超声30</w:t>
      </w:r>
      <w:r>
        <w:rPr>
          <w:rFonts w:ascii="Times New Roman" w:hAnsi="Times New Roman" w:eastAsia="宋体" w:cs="Times New Roman"/>
          <w:sz w:val="24"/>
          <w:szCs w:val="24"/>
        </w:rPr>
        <w:t xml:space="preserve"> </w:t>
      </w:r>
      <w:r>
        <w:rPr>
          <w:rFonts w:hint="eastAsia" w:ascii="Times New Roman" w:hAnsi="Times New Roman" w:eastAsia="宋体" w:cs="Times New Roman"/>
          <w:sz w:val="24"/>
          <w:szCs w:val="24"/>
        </w:rPr>
        <w:t>min，超声结束后，离心15</w:t>
      </w:r>
      <w:r>
        <w:rPr>
          <w:rFonts w:ascii="Times New Roman" w:hAnsi="Times New Roman" w:eastAsia="宋体" w:cs="Times New Roman"/>
          <w:sz w:val="24"/>
          <w:szCs w:val="24"/>
        </w:rPr>
        <w:t xml:space="preserve"> </w:t>
      </w:r>
      <w:r>
        <w:rPr>
          <w:rFonts w:hint="eastAsia" w:ascii="Times New Roman" w:hAnsi="Times New Roman" w:eastAsia="宋体" w:cs="Times New Roman"/>
          <w:sz w:val="24"/>
          <w:szCs w:val="24"/>
        </w:rPr>
        <w:t>min，转速4000</w:t>
      </w:r>
      <w:r>
        <w:rPr>
          <w:rFonts w:ascii="Times New Roman" w:hAnsi="Times New Roman" w:eastAsia="宋体" w:cs="Times New Roman"/>
          <w:sz w:val="24"/>
          <w:szCs w:val="24"/>
        </w:rPr>
        <w:t xml:space="preserve"> </w:t>
      </w:r>
      <w:r>
        <w:rPr>
          <w:rFonts w:hint="eastAsia" w:ascii="Times New Roman" w:hAnsi="Times New Roman" w:eastAsia="宋体" w:cs="Times New Roman"/>
          <w:sz w:val="24"/>
          <w:szCs w:val="24"/>
        </w:rPr>
        <w:t>r/min，取上清液。供试品备用。</w:t>
      </w:r>
    </w:p>
    <w:p w14:paraId="0A018D74">
      <w:pPr>
        <w:spacing w:line="360" w:lineRule="auto"/>
        <w:ind w:firstLine="480" w:firstLineChars="200"/>
        <w:rPr>
          <w:rFonts w:ascii="Times New Roman" w:hAnsi="Times New Roman" w:eastAsia="宋体" w:cs="Times New Roman"/>
          <w:b/>
          <w:sz w:val="24"/>
          <w:szCs w:val="28"/>
        </w:rPr>
      </w:pPr>
      <w:r>
        <w:rPr>
          <w:rFonts w:hint="eastAsia" w:ascii="Times New Roman" w:hAnsi="Times New Roman" w:eastAsia="宋体" w:cs="Times New Roman"/>
          <w:sz w:val="24"/>
          <w:szCs w:val="28"/>
        </w:rPr>
        <w:t>3、测定方法</w:t>
      </w:r>
    </w:p>
    <w:p w14:paraId="66ECB157">
      <w:pPr>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分别将上述配制的空白基准液、供试品溶液、购买的正负极液置于</w:t>
      </w:r>
      <w:r>
        <w:rPr>
          <w:rFonts w:ascii="Times New Roman" w:hAnsi="Times New Roman" w:eastAsia="宋体" w:cs="Times New Roman"/>
          <w:sz w:val="24"/>
          <w:szCs w:val="24"/>
        </w:rPr>
        <w:t xml:space="preserve">100 </w:t>
      </w:r>
      <w:r>
        <w:rPr>
          <w:rFonts w:hint="eastAsia" w:ascii="Times New Roman" w:hAnsi="Times New Roman" w:eastAsia="宋体" w:cs="Times New Roman"/>
          <w:sz w:val="24"/>
          <w:szCs w:val="24"/>
        </w:rPr>
        <w:t>mL电子舌专用烧杯中，倒入各溶液约</w:t>
      </w:r>
      <w:r>
        <w:rPr>
          <w:rFonts w:ascii="Times New Roman" w:hAnsi="Times New Roman" w:eastAsia="宋体" w:cs="Times New Roman"/>
          <w:sz w:val="24"/>
          <w:szCs w:val="24"/>
        </w:rPr>
        <w:t>35 mL</w:t>
      </w:r>
      <w:r>
        <w:rPr>
          <w:rFonts w:hint="eastAsia" w:ascii="Times New Roman" w:hAnsi="Times New Roman" w:eastAsia="宋体" w:cs="Times New Roman"/>
          <w:sz w:val="24"/>
          <w:szCs w:val="24"/>
        </w:rPr>
        <w:t>。装置好相应的味觉传感器，选择相应的味觉值测定方法。测定出电势值，而后转化为相应的味觉值。八味值平行测定4次，甜味值平行测定5次，均去掉第1次值，以最后几次值数据取平均值作为测试结果。</w:t>
      </w:r>
    </w:p>
    <w:p w14:paraId="6292092B">
      <w:pPr>
        <w:spacing w:line="360" w:lineRule="auto"/>
        <w:ind w:firstLine="480" w:firstLineChars="200"/>
        <w:rPr>
          <w:rFonts w:ascii="Times New Roman" w:hAnsi="Times New Roman" w:eastAsia="宋体" w:cs="Times New Roman"/>
          <w:b/>
          <w:sz w:val="24"/>
          <w:szCs w:val="28"/>
        </w:rPr>
      </w:pPr>
      <w:r>
        <w:rPr>
          <w:rFonts w:hint="eastAsia" w:ascii="Times New Roman" w:hAnsi="Times New Roman" w:eastAsia="宋体" w:cs="Times New Roman"/>
          <w:sz w:val="24"/>
          <w:szCs w:val="28"/>
        </w:rPr>
        <w:t>4、黄精药材与炆玉竹味觉值测定</w:t>
      </w:r>
    </w:p>
    <w:p w14:paraId="029AE368">
      <w:pPr>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20批生黄精药材测定结果见表4-2，20批炆黄精饮片测定结果见表4-3。（其中S4、</w:t>
      </w:r>
      <w:r>
        <w:rPr>
          <w:rFonts w:ascii="Times New Roman" w:hAnsi="Times New Roman" w:eastAsia="宋体" w:cs="Times New Roman"/>
          <w:sz w:val="24"/>
          <w:szCs w:val="24"/>
        </w:rPr>
        <w:t>S5</w:t>
      </w:r>
      <w:r>
        <w:rPr>
          <w:rFonts w:hint="eastAsia" w:ascii="Times New Roman" w:hAnsi="Times New Roman" w:eastAsia="宋体" w:cs="Times New Roman"/>
          <w:sz w:val="24"/>
          <w:szCs w:val="24"/>
        </w:rPr>
        <w:t>、</w:t>
      </w:r>
      <w:r>
        <w:rPr>
          <w:rFonts w:ascii="Times New Roman" w:hAnsi="Times New Roman" w:eastAsia="宋体" w:cs="Times New Roman"/>
          <w:sz w:val="24"/>
          <w:szCs w:val="24"/>
        </w:rPr>
        <w:t>S8</w:t>
      </w:r>
      <w:r>
        <w:rPr>
          <w:rFonts w:hint="eastAsia" w:ascii="Times New Roman" w:hAnsi="Times New Roman" w:eastAsia="宋体" w:cs="Times New Roman"/>
          <w:sz w:val="24"/>
          <w:szCs w:val="24"/>
        </w:rPr>
        <w:t>、</w:t>
      </w:r>
      <w:r>
        <w:rPr>
          <w:rFonts w:ascii="Times New Roman" w:hAnsi="Times New Roman" w:eastAsia="宋体" w:cs="Times New Roman"/>
          <w:sz w:val="24"/>
          <w:szCs w:val="24"/>
        </w:rPr>
        <w:t>S9</w:t>
      </w:r>
      <w:r>
        <w:rPr>
          <w:rFonts w:hint="eastAsia" w:ascii="Times New Roman" w:hAnsi="Times New Roman" w:eastAsia="宋体" w:cs="Times New Roman"/>
          <w:sz w:val="24"/>
          <w:szCs w:val="24"/>
        </w:rPr>
        <w:t>、</w:t>
      </w:r>
      <w:r>
        <w:rPr>
          <w:rFonts w:ascii="Times New Roman" w:hAnsi="Times New Roman" w:eastAsia="宋体" w:cs="Times New Roman"/>
          <w:sz w:val="24"/>
          <w:szCs w:val="24"/>
        </w:rPr>
        <w:t>S18</w:t>
      </w:r>
      <w:r>
        <w:rPr>
          <w:rFonts w:hint="eastAsia" w:ascii="Times New Roman" w:hAnsi="Times New Roman" w:eastAsia="宋体" w:cs="Times New Roman"/>
          <w:sz w:val="24"/>
          <w:szCs w:val="24"/>
        </w:rPr>
        <w:t>、</w:t>
      </w:r>
      <w:r>
        <w:rPr>
          <w:rFonts w:ascii="Times New Roman" w:hAnsi="Times New Roman" w:eastAsia="宋体" w:cs="Times New Roman"/>
          <w:sz w:val="24"/>
          <w:szCs w:val="24"/>
        </w:rPr>
        <w:t>S19</w:t>
      </w:r>
      <w:r>
        <w:rPr>
          <w:rFonts w:hint="eastAsia" w:ascii="Times New Roman" w:hAnsi="Times New Roman" w:eastAsia="宋体" w:cs="Times New Roman"/>
          <w:sz w:val="24"/>
          <w:szCs w:val="24"/>
        </w:rPr>
        <w:t>、</w:t>
      </w:r>
      <w:r>
        <w:rPr>
          <w:rFonts w:ascii="Times New Roman" w:hAnsi="Times New Roman" w:eastAsia="宋体" w:cs="Times New Roman"/>
          <w:sz w:val="24"/>
          <w:szCs w:val="24"/>
        </w:rPr>
        <w:t>S20</w:t>
      </w:r>
      <w:r>
        <w:rPr>
          <w:rFonts w:hint="eastAsia" w:ascii="Times New Roman" w:hAnsi="Times New Roman" w:eastAsia="宋体" w:cs="Times New Roman"/>
          <w:sz w:val="24"/>
          <w:szCs w:val="24"/>
        </w:rPr>
        <w:t>是来自江西的本标准规定的用种及其蒸晒后的饮片。</w:t>
      </w:r>
    </w:p>
    <w:p w14:paraId="54C73B35">
      <w:pPr>
        <w:spacing w:line="360" w:lineRule="auto"/>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表</w:t>
      </w:r>
      <w:r>
        <w:rPr>
          <w:rFonts w:ascii="Times New Roman" w:hAnsi="Times New Roman" w:eastAsia="宋体" w:cs="Times New Roman"/>
          <w:sz w:val="24"/>
          <w:szCs w:val="21"/>
        </w:rPr>
        <w:t xml:space="preserve">4-2 </w:t>
      </w:r>
      <w:r>
        <w:rPr>
          <w:rFonts w:hint="eastAsia" w:ascii="Times New Roman" w:hAnsi="Times New Roman" w:eastAsia="宋体" w:cs="Times New Roman"/>
          <w:sz w:val="24"/>
          <w:szCs w:val="21"/>
        </w:rPr>
        <w:t>黄精药材味觉测定结果</w:t>
      </w:r>
    </w:p>
    <w:p w14:paraId="4FFF8F6C">
      <w:pPr>
        <w:spacing w:line="360" w:lineRule="auto"/>
        <w:jc w:val="center"/>
        <w:rPr>
          <w:rFonts w:ascii="Times New Roman" w:hAnsi="Times New Roman" w:eastAsia="宋体" w:cs="Times New Roman"/>
          <w:sz w:val="24"/>
          <w:szCs w:val="21"/>
        </w:rPr>
      </w:pPr>
      <w:r>
        <w:rPr>
          <w:rFonts w:ascii="Times New Roman" w:hAnsi="Times New Roman" w:eastAsia="宋体" w:cs="Times New Roman"/>
          <w:sz w:val="24"/>
          <w:szCs w:val="21"/>
        </w:rPr>
        <w:t xml:space="preserve">Tab.4-2 Determination results of taste value of </w:t>
      </w:r>
      <w:r>
        <w:rPr>
          <w:rFonts w:ascii="Times New Roman" w:hAnsi="Times New Roman" w:eastAsia="宋体" w:cs="Times New Roman"/>
          <w:i/>
          <w:iCs/>
          <w:sz w:val="24"/>
          <w:szCs w:val="21"/>
        </w:rPr>
        <w:t>Polygonatum</w:t>
      </w:r>
      <w:r>
        <w:rPr>
          <w:rFonts w:ascii="Times New Roman" w:hAnsi="Times New Roman" w:eastAsia="宋体" w:cs="Times New Roman"/>
          <w:sz w:val="24"/>
          <w:szCs w:val="21"/>
        </w:rPr>
        <w:t xml:space="preserve"> chinensis</w:t>
      </w:r>
    </w:p>
    <w:tbl>
      <w:tblPr>
        <w:tblStyle w:val="27"/>
        <w:tblW w:w="5000" w:type="pct"/>
        <w:tblInd w:w="0" w:type="dxa"/>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17"/>
        <w:gridCol w:w="640"/>
        <w:gridCol w:w="863"/>
        <w:gridCol w:w="746"/>
        <w:gridCol w:w="793"/>
        <w:gridCol w:w="793"/>
        <w:gridCol w:w="746"/>
        <w:gridCol w:w="733"/>
        <w:gridCol w:w="879"/>
        <w:gridCol w:w="818"/>
        <w:gridCol w:w="794"/>
      </w:tblGrid>
      <w:tr w14:paraId="57AB50E3">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420" w:type="pct"/>
            <w:tcBorders>
              <w:top w:val="single" w:color="000000" w:sz="12" w:space="0"/>
              <w:bottom w:val="single" w:color="000000" w:sz="8" w:space="0"/>
            </w:tcBorders>
            <w:vAlign w:val="center"/>
          </w:tcPr>
          <w:p w14:paraId="491B3C2B">
            <w:pPr>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序号</w:t>
            </w:r>
          </w:p>
        </w:tc>
        <w:tc>
          <w:tcPr>
            <w:tcW w:w="376" w:type="pct"/>
            <w:tcBorders>
              <w:top w:val="single" w:color="000000" w:sz="12" w:space="0"/>
              <w:bottom w:val="single" w:color="000000" w:sz="8" w:space="0"/>
            </w:tcBorders>
            <w:vAlign w:val="center"/>
          </w:tcPr>
          <w:p w14:paraId="40BCDB03">
            <w:pPr>
              <w:spacing w:line="360" w:lineRule="auto"/>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批号</w:t>
            </w:r>
          </w:p>
        </w:tc>
        <w:tc>
          <w:tcPr>
            <w:tcW w:w="506" w:type="pct"/>
            <w:tcBorders>
              <w:top w:val="single" w:color="000000" w:sz="12" w:space="0"/>
              <w:bottom w:val="single" w:color="000000" w:sz="8" w:space="0"/>
            </w:tcBorders>
            <w:vAlign w:val="center"/>
          </w:tcPr>
          <w:p w14:paraId="2516012C">
            <w:pPr>
              <w:spacing w:line="360" w:lineRule="auto"/>
              <w:jc w:val="center"/>
              <w:rPr>
                <w:rFonts w:ascii="Times New Roman" w:hAnsi="Times New Roman" w:eastAsia="宋体" w:cs="Times New Roman"/>
                <w:szCs w:val="21"/>
              </w:rPr>
            </w:pPr>
            <w:r>
              <w:rPr>
                <w:rFonts w:hint="eastAsia" w:ascii="Times New Roman" w:hAnsi="Times New Roman" w:eastAsia="宋体" w:cs="Times New Roman"/>
                <w:color w:val="000000"/>
                <w:szCs w:val="21"/>
              </w:rPr>
              <w:t>酸</w:t>
            </w:r>
          </w:p>
        </w:tc>
        <w:tc>
          <w:tcPr>
            <w:tcW w:w="437" w:type="pct"/>
            <w:tcBorders>
              <w:top w:val="single" w:color="000000" w:sz="12" w:space="0"/>
              <w:bottom w:val="single" w:color="000000" w:sz="8" w:space="0"/>
            </w:tcBorders>
            <w:vAlign w:val="center"/>
          </w:tcPr>
          <w:p w14:paraId="4A2185BA">
            <w:pPr>
              <w:spacing w:line="360" w:lineRule="auto"/>
              <w:jc w:val="center"/>
              <w:rPr>
                <w:rFonts w:ascii="Times New Roman" w:hAnsi="Times New Roman" w:eastAsia="宋体" w:cs="Times New Roman"/>
                <w:szCs w:val="21"/>
              </w:rPr>
            </w:pPr>
            <w:r>
              <w:rPr>
                <w:rFonts w:hint="eastAsia" w:ascii="Times New Roman" w:hAnsi="Times New Roman" w:eastAsia="宋体" w:cs="Times New Roman"/>
                <w:color w:val="000000"/>
                <w:szCs w:val="21"/>
              </w:rPr>
              <w:t>苦</w:t>
            </w:r>
          </w:p>
        </w:tc>
        <w:tc>
          <w:tcPr>
            <w:tcW w:w="465" w:type="pct"/>
            <w:tcBorders>
              <w:top w:val="single" w:color="000000" w:sz="12" w:space="0"/>
              <w:bottom w:val="single" w:color="000000" w:sz="8" w:space="0"/>
            </w:tcBorders>
            <w:vAlign w:val="center"/>
          </w:tcPr>
          <w:p w14:paraId="4A4B7E49">
            <w:pPr>
              <w:spacing w:line="360" w:lineRule="auto"/>
              <w:jc w:val="center"/>
              <w:rPr>
                <w:rFonts w:ascii="Times New Roman" w:hAnsi="Times New Roman" w:eastAsia="宋体" w:cs="Times New Roman"/>
                <w:szCs w:val="21"/>
              </w:rPr>
            </w:pPr>
            <w:r>
              <w:rPr>
                <w:rFonts w:hint="eastAsia" w:ascii="Times New Roman" w:hAnsi="Times New Roman" w:eastAsia="宋体" w:cs="Times New Roman"/>
                <w:color w:val="000000"/>
                <w:szCs w:val="21"/>
              </w:rPr>
              <w:t>涩</w:t>
            </w:r>
          </w:p>
        </w:tc>
        <w:tc>
          <w:tcPr>
            <w:tcW w:w="465" w:type="pct"/>
            <w:tcBorders>
              <w:top w:val="single" w:color="000000" w:sz="12" w:space="0"/>
              <w:bottom w:val="single" w:color="000000" w:sz="8" w:space="0"/>
            </w:tcBorders>
            <w:vAlign w:val="center"/>
          </w:tcPr>
          <w:p w14:paraId="5A7278EE">
            <w:pPr>
              <w:spacing w:line="360" w:lineRule="auto"/>
              <w:jc w:val="center"/>
              <w:rPr>
                <w:rFonts w:ascii="Times New Roman" w:hAnsi="Times New Roman" w:eastAsia="宋体" w:cs="Times New Roman"/>
                <w:szCs w:val="21"/>
              </w:rPr>
            </w:pPr>
            <w:r>
              <w:rPr>
                <w:rFonts w:hint="eastAsia" w:ascii="Times New Roman" w:hAnsi="Times New Roman" w:eastAsia="宋体" w:cs="Times New Roman"/>
                <w:color w:val="000000"/>
                <w:szCs w:val="21"/>
              </w:rPr>
              <w:t>后苦</w:t>
            </w:r>
          </w:p>
        </w:tc>
        <w:tc>
          <w:tcPr>
            <w:tcW w:w="437" w:type="pct"/>
            <w:tcBorders>
              <w:top w:val="single" w:color="000000" w:sz="12" w:space="0"/>
              <w:bottom w:val="single" w:color="000000" w:sz="8" w:space="0"/>
            </w:tcBorders>
            <w:vAlign w:val="center"/>
          </w:tcPr>
          <w:p w14:paraId="46186667">
            <w:pPr>
              <w:spacing w:line="360" w:lineRule="auto"/>
              <w:jc w:val="center"/>
              <w:rPr>
                <w:rFonts w:ascii="Times New Roman" w:hAnsi="Times New Roman" w:eastAsia="宋体" w:cs="Times New Roman"/>
                <w:szCs w:val="21"/>
              </w:rPr>
            </w:pPr>
            <w:r>
              <w:rPr>
                <w:rFonts w:hint="eastAsia" w:ascii="Times New Roman" w:hAnsi="Times New Roman" w:eastAsia="宋体" w:cs="Times New Roman"/>
                <w:color w:val="000000"/>
                <w:szCs w:val="21"/>
              </w:rPr>
              <w:t>后涩</w:t>
            </w:r>
          </w:p>
        </w:tc>
        <w:tc>
          <w:tcPr>
            <w:tcW w:w="429" w:type="pct"/>
            <w:tcBorders>
              <w:top w:val="single" w:color="000000" w:sz="12" w:space="0"/>
              <w:bottom w:val="single" w:color="000000" w:sz="8" w:space="0"/>
            </w:tcBorders>
            <w:vAlign w:val="center"/>
          </w:tcPr>
          <w:p w14:paraId="71FAE3E0">
            <w:pPr>
              <w:spacing w:line="360" w:lineRule="auto"/>
              <w:jc w:val="center"/>
              <w:rPr>
                <w:rFonts w:ascii="Times New Roman" w:hAnsi="Times New Roman" w:eastAsia="宋体" w:cs="Times New Roman"/>
                <w:szCs w:val="21"/>
              </w:rPr>
            </w:pPr>
            <w:r>
              <w:rPr>
                <w:rFonts w:hint="eastAsia" w:ascii="Times New Roman" w:hAnsi="Times New Roman" w:eastAsia="宋体" w:cs="Times New Roman"/>
                <w:color w:val="000000"/>
                <w:szCs w:val="21"/>
              </w:rPr>
              <w:t>鲜</w:t>
            </w:r>
          </w:p>
        </w:tc>
        <w:tc>
          <w:tcPr>
            <w:tcW w:w="515" w:type="pct"/>
            <w:tcBorders>
              <w:top w:val="single" w:color="000000" w:sz="12" w:space="0"/>
              <w:bottom w:val="single" w:color="000000" w:sz="8" w:space="0"/>
            </w:tcBorders>
            <w:vAlign w:val="center"/>
          </w:tcPr>
          <w:p w14:paraId="61026EA2">
            <w:pPr>
              <w:spacing w:line="360" w:lineRule="auto"/>
              <w:jc w:val="center"/>
              <w:rPr>
                <w:rFonts w:ascii="Times New Roman" w:hAnsi="Times New Roman" w:eastAsia="宋体" w:cs="Times New Roman"/>
                <w:szCs w:val="21"/>
              </w:rPr>
            </w:pPr>
            <w:r>
              <w:rPr>
                <w:rFonts w:hint="eastAsia" w:ascii="Times New Roman" w:hAnsi="Times New Roman" w:eastAsia="宋体" w:cs="Times New Roman"/>
                <w:color w:val="000000"/>
                <w:szCs w:val="21"/>
              </w:rPr>
              <w:t>丰富度</w:t>
            </w:r>
          </w:p>
        </w:tc>
        <w:tc>
          <w:tcPr>
            <w:tcW w:w="479" w:type="pct"/>
            <w:tcBorders>
              <w:top w:val="single" w:color="000000" w:sz="12" w:space="0"/>
              <w:bottom w:val="single" w:color="000000" w:sz="8" w:space="0"/>
            </w:tcBorders>
            <w:vAlign w:val="center"/>
          </w:tcPr>
          <w:p w14:paraId="493A79F0">
            <w:pPr>
              <w:spacing w:line="360" w:lineRule="auto"/>
              <w:jc w:val="center"/>
              <w:rPr>
                <w:rFonts w:ascii="Times New Roman" w:hAnsi="Times New Roman" w:eastAsia="宋体" w:cs="Times New Roman"/>
                <w:szCs w:val="21"/>
              </w:rPr>
            </w:pPr>
            <w:r>
              <w:rPr>
                <w:rFonts w:hint="eastAsia" w:ascii="Times New Roman" w:hAnsi="Times New Roman" w:eastAsia="宋体" w:cs="Times New Roman"/>
                <w:color w:val="000000"/>
                <w:szCs w:val="21"/>
              </w:rPr>
              <w:t>咸</w:t>
            </w:r>
          </w:p>
        </w:tc>
        <w:tc>
          <w:tcPr>
            <w:tcW w:w="465" w:type="pct"/>
            <w:tcBorders>
              <w:top w:val="single" w:color="000000" w:sz="12" w:space="0"/>
              <w:bottom w:val="single" w:color="000000" w:sz="8" w:space="0"/>
            </w:tcBorders>
            <w:vAlign w:val="center"/>
          </w:tcPr>
          <w:p w14:paraId="763C91CA">
            <w:pPr>
              <w:spacing w:line="360" w:lineRule="auto"/>
              <w:jc w:val="center"/>
              <w:rPr>
                <w:rFonts w:ascii="Times New Roman" w:hAnsi="Times New Roman" w:eastAsia="宋体" w:cs="Times New Roman"/>
                <w:szCs w:val="21"/>
              </w:rPr>
            </w:pPr>
            <w:r>
              <w:rPr>
                <w:rFonts w:hint="eastAsia" w:ascii="Times New Roman" w:hAnsi="Times New Roman" w:eastAsia="宋体" w:cs="Times New Roman"/>
                <w:color w:val="000000"/>
                <w:szCs w:val="21"/>
              </w:rPr>
              <w:t>甜味</w:t>
            </w:r>
          </w:p>
        </w:tc>
      </w:tr>
      <w:tr w14:paraId="21049B90">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3" w:hRule="atLeast"/>
        </w:trPr>
        <w:tc>
          <w:tcPr>
            <w:tcW w:w="420" w:type="pct"/>
            <w:tcBorders>
              <w:top w:val="single" w:color="000000" w:sz="8" w:space="0"/>
            </w:tcBorders>
            <w:vAlign w:val="center"/>
          </w:tcPr>
          <w:p w14:paraId="14A7EC8A">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w:t>
            </w:r>
          </w:p>
        </w:tc>
        <w:tc>
          <w:tcPr>
            <w:tcW w:w="376" w:type="pct"/>
            <w:tcBorders>
              <w:top w:val="single" w:color="000000" w:sz="8" w:space="0"/>
            </w:tcBorders>
            <w:vAlign w:val="center"/>
          </w:tcPr>
          <w:p w14:paraId="5B307771">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S1</w:t>
            </w:r>
          </w:p>
        </w:tc>
        <w:tc>
          <w:tcPr>
            <w:tcW w:w="506" w:type="pct"/>
            <w:tcBorders>
              <w:top w:val="single" w:color="000000" w:sz="8" w:space="0"/>
            </w:tcBorders>
            <w:vAlign w:val="center"/>
          </w:tcPr>
          <w:p w14:paraId="2B9C4FA5">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-31.60</w:t>
            </w:r>
          </w:p>
        </w:tc>
        <w:tc>
          <w:tcPr>
            <w:tcW w:w="437" w:type="pct"/>
            <w:tcBorders>
              <w:top w:val="single" w:color="000000" w:sz="8" w:space="0"/>
            </w:tcBorders>
            <w:vAlign w:val="center"/>
          </w:tcPr>
          <w:p w14:paraId="340C747A">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4.29</w:t>
            </w:r>
          </w:p>
        </w:tc>
        <w:tc>
          <w:tcPr>
            <w:tcW w:w="465" w:type="pct"/>
            <w:tcBorders>
              <w:top w:val="single" w:color="000000" w:sz="8" w:space="0"/>
            </w:tcBorders>
            <w:vAlign w:val="center"/>
          </w:tcPr>
          <w:p w14:paraId="562D5959">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-1.08</w:t>
            </w:r>
          </w:p>
        </w:tc>
        <w:tc>
          <w:tcPr>
            <w:tcW w:w="465" w:type="pct"/>
            <w:tcBorders>
              <w:top w:val="single" w:color="000000" w:sz="8" w:space="0"/>
            </w:tcBorders>
            <w:vAlign w:val="center"/>
          </w:tcPr>
          <w:p w14:paraId="186DC7F7">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0.21</w:t>
            </w:r>
          </w:p>
        </w:tc>
        <w:tc>
          <w:tcPr>
            <w:tcW w:w="437" w:type="pct"/>
            <w:tcBorders>
              <w:top w:val="single" w:color="000000" w:sz="8" w:space="0"/>
            </w:tcBorders>
            <w:vAlign w:val="center"/>
          </w:tcPr>
          <w:p w14:paraId="249F13E2">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0.68</w:t>
            </w:r>
          </w:p>
        </w:tc>
        <w:tc>
          <w:tcPr>
            <w:tcW w:w="429" w:type="pct"/>
            <w:tcBorders>
              <w:top w:val="single" w:color="000000" w:sz="8" w:space="0"/>
            </w:tcBorders>
            <w:vAlign w:val="center"/>
          </w:tcPr>
          <w:p w14:paraId="5215B3FC">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11.58</w:t>
            </w:r>
          </w:p>
        </w:tc>
        <w:tc>
          <w:tcPr>
            <w:tcW w:w="515" w:type="pct"/>
            <w:tcBorders>
              <w:top w:val="single" w:color="000000" w:sz="8" w:space="0"/>
            </w:tcBorders>
            <w:vAlign w:val="center"/>
          </w:tcPr>
          <w:p w14:paraId="474B3A23">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-0.68</w:t>
            </w:r>
          </w:p>
        </w:tc>
        <w:tc>
          <w:tcPr>
            <w:tcW w:w="479" w:type="pct"/>
            <w:tcBorders>
              <w:top w:val="single" w:color="000000" w:sz="8" w:space="0"/>
            </w:tcBorders>
            <w:vAlign w:val="center"/>
          </w:tcPr>
          <w:p w14:paraId="7FDFAC6C">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7.21</w:t>
            </w:r>
          </w:p>
        </w:tc>
        <w:tc>
          <w:tcPr>
            <w:tcW w:w="465" w:type="pct"/>
            <w:tcBorders>
              <w:top w:val="single" w:color="000000" w:sz="8" w:space="0"/>
            </w:tcBorders>
            <w:vAlign w:val="center"/>
          </w:tcPr>
          <w:p w14:paraId="768E5B9F">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-1.23</w:t>
            </w:r>
          </w:p>
        </w:tc>
      </w:tr>
      <w:tr w14:paraId="583407EE">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1" w:hRule="atLeast"/>
        </w:trPr>
        <w:tc>
          <w:tcPr>
            <w:tcW w:w="420" w:type="pct"/>
            <w:vAlign w:val="center"/>
          </w:tcPr>
          <w:p w14:paraId="79335A28">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2</w:t>
            </w:r>
          </w:p>
        </w:tc>
        <w:tc>
          <w:tcPr>
            <w:tcW w:w="376" w:type="pct"/>
            <w:vAlign w:val="center"/>
          </w:tcPr>
          <w:p w14:paraId="31EEC478">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S2</w:t>
            </w:r>
          </w:p>
        </w:tc>
        <w:tc>
          <w:tcPr>
            <w:tcW w:w="506" w:type="pct"/>
            <w:vAlign w:val="center"/>
          </w:tcPr>
          <w:p w14:paraId="443C55E5">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-30.60</w:t>
            </w:r>
          </w:p>
        </w:tc>
        <w:tc>
          <w:tcPr>
            <w:tcW w:w="437" w:type="pct"/>
            <w:vAlign w:val="center"/>
          </w:tcPr>
          <w:p w14:paraId="21F13BA6">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4.36</w:t>
            </w:r>
          </w:p>
        </w:tc>
        <w:tc>
          <w:tcPr>
            <w:tcW w:w="465" w:type="pct"/>
            <w:vAlign w:val="center"/>
          </w:tcPr>
          <w:p w14:paraId="3FE13A3A">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-1.11</w:t>
            </w:r>
          </w:p>
        </w:tc>
        <w:tc>
          <w:tcPr>
            <w:tcW w:w="465" w:type="pct"/>
            <w:vAlign w:val="center"/>
          </w:tcPr>
          <w:p w14:paraId="129CF908">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0.12</w:t>
            </w:r>
          </w:p>
        </w:tc>
        <w:tc>
          <w:tcPr>
            <w:tcW w:w="437" w:type="pct"/>
            <w:vAlign w:val="center"/>
          </w:tcPr>
          <w:p w14:paraId="76004184">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1.34</w:t>
            </w:r>
          </w:p>
        </w:tc>
        <w:tc>
          <w:tcPr>
            <w:tcW w:w="429" w:type="pct"/>
            <w:vAlign w:val="center"/>
          </w:tcPr>
          <w:p w14:paraId="0A93AA20">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11.23</w:t>
            </w:r>
          </w:p>
        </w:tc>
        <w:tc>
          <w:tcPr>
            <w:tcW w:w="515" w:type="pct"/>
            <w:vAlign w:val="center"/>
          </w:tcPr>
          <w:p w14:paraId="389B1EF3">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-0.81</w:t>
            </w:r>
          </w:p>
        </w:tc>
        <w:tc>
          <w:tcPr>
            <w:tcW w:w="479" w:type="pct"/>
            <w:vAlign w:val="center"/>
          </w:tcPr>
          <w:p w14:paraId="174A3894">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6.98</w:t>
            </w:r>
          </w:p>
        </w:tc>
        <w:tc>
          <w:tcPr>
            <w:tcW w:w="465" w:type="pct"/>
            <w:vAlign w:val="center"/>
          </w:tcPr>
          <w:p w14:paraId="20FC8804">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-1.36</w:t>
            </w:r>
          </w:p>
        </w:tc>
      </w:tr>
      <w:tr w14:paraId="1037A612">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420" w:type="pct"/>
            <w:vAlign w:val="center"/>
          </w:tcPr>
          <w:p w14:paraId="703C3CAF">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3</w:t>
            </w:r>
          </w:p>
        </w:tc>
        <w:tc>
          <w:tcPr>
            <w:tcW w:w="376" w:type="pct"/>
            <w:vAlign w:val="center"/>
          </w:tcPr>
          <w:p w14:paraId="6D02639B">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S3</w:t>
            </w:r>
          </w:p>
        </w:tc>
        <w:tc>
          <w:tcPr>
            <w:tcW w:w="506" w:type="pct"/>
            <w:vAlign w:val="center"/>
          </w:tcPr>
          <w:p w14:paraId="7C5AF5A8">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-32.50</w:t>
            </w:r>
          </w:p>
        </w:tc>
        <w:tc>
          <w:tcPr>
            <w:tcW w:w="437" w:type="pct"/>
            <w:vAlign w:val="center"/>
          </w:tcPr>
          <w:p w14:paraId="48D4097E">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4.42</w:t>
            </w:r>
          </w:p>
        </w:tc>
        <w:tc>
          <w:tcPr>
            <w:tcW w:w="465" w:type="pct"/>
            <w:vAlign w:val="center"/>
          </w:tcPr>
          <w:p w14:paraId="3A28939B">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-2.27</w:t>
            </w:r>
          </w:p>
        </w:tc>
        <w:tc>
          <w:tcPr>
            <w:tcW w:w="465" w:type="pct"/>
            <w:vAlign w:val="center"/>
          </w:tcPr>
          <w:p w14:paraId="148D6826">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0.27</w:t>
            </w:r>
          </w:p>
        </w:tc>
        <w:tc>
          <w:tcPr>
            <w:tcW w:w="437" w:type="pct"/>
            <w:vAlign w:val="center"/>
          </w:tcPr>
          <w:p w14:paraId="62891AF6">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0.85</w:t>
            </w:r>
          </w:p>
        </w:tc>
        <w:tc>
          <w:tcPr>
            <w:tcW w:w="429" w:type="pct"/>
            <w:vAlign w:val="center"/>
          </w:tcPr>
          <w:p w14:paraId="0645D50C">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12.26</w:t>
            </w:r>
          </w:p>
        </w:tc>
        <w:tc>
          <w:tcPr>
            <w:tcW w:w="515" w:type="pct"/>
            <w:vAlign w:val="center"/>
          </w:tcPr>
          <w:p w14:paraId="10CD73A8">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-0.69</w:t>
            </w:r>
          </w:p>
        </w:tc>
        <w:tc>
          <w:tcPr>
            <w:tcW w:w="479" w:type="pct"/>
            <w:vAlign w:val="center"/>
          </w:tcPr>
          <w:p w14:paraId="7D56129F">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7.68</w:t>
            </w:r>
          </w:p>
        </w:tc>
        <w:tc>
          <w:tcPr>
            <w:tcW w:w="465" w:type="pct"/>
            <w:vAlign w:val="center"/>
          </w:tcPr>
          <w:p w14:paraId="7A038A51">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-1.51</w:t>
            </w:r>
          </w:p>
        </w:tc>
      </w:tr>
      <w:tr w14:paraId="6FDEC353">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420" w:type="pct"/>
            <w:vAlign w:val="center"/>
          </w:tcPr>
          <w:p w14:paraId="7CD896AC">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4</w:t>
            </w:r>
          </w:p>
        </w:tc>
        <w:tc>
          <w:tcPr>
            <w:tcW w:w="376" w:type="pct"/>
            <w:vAlign w:val="center"/>
          </w:tcPr>
          <w:p w14:paraId="722493C2">
            <w:pPr>
              <w:spacing w:line="360" w:lineRule="auto"/>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S4</w:t>
            </w:r>
          </w:p>
        </w:tc>
        <w:tc>
          <w:tcPr>
            <w:tcW w:w="506" w:type="pct"/>
            <w:vAlign w:val="center"/>
          </w:tcPr>
          <w:p w14:paraId="76A64695">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-32.17</w:t>
            </w:r>
          </w:p>
        </w:tc>
        <w:tc>
          <w:tcPr>
            <w:tcW w:w="437" w:type="pct"/>
            <w:vAlign w:val="center"/>
          </w:tcPr>
          <w:p w14:paraId="62355E0C">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4.15</w:t>
            </w:r>
          </w:p>
        </w:tc>
        <w:tc>
          <w:tcPr>
            <w:tcW w:w="465" w:type="pct"/>
            <w:vAlign w:val="center"/>
          </w:tcPr>
          <w:p w14:paraId="387B9590">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-2.80</w:t>
            </w:r>
          </w:p>
        </w:tc>
        <w:tc>
          <w:tcPr>
            <w:tcW w:w="465" w:type="pct"/>
            <w:vAlign w:val="center"/>
          </w:tcPr>
          <w:p w14:paraId="4C7B48A9">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0.16</w:t>
            </w:r>
          </w:p>
        </w:tc>
        <w:tc>
          <w:tcPr>
            <w:tcW w:w="437" w:type="pct"/>
            <w:vAlign w:val="center"/>
          </w:tcPr>
          <w:p w14:paraId="4F97B3CF">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0.69</w:t>
            </w:r>
          </w:p>
        </w:tc>
        <w:tc>
          <w:tcPr>
            <w:tcW w:w="429" w:type="pct"/>
            <w:vAlign w:val="center"/>
          </w:tcPr>
          <w:p w14:paraId="40439864">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12.19</w:t>
            </w:r>
          </w:p>
        </w:tc>
        <w:tc>
          <w:tcPr>
            <w:tcW w:w="515" w:type="pct"/>
            <w:vAlign w:val="center"/>
          </w:tcPr>
          <w:p w14:paraId="4AA24B01">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-0.73</w:t>
            </w:r>
          </w:p>
        </w:tc>
        <w:tc>
          <w:tcPr>
            <w:tcW w:w="479" w:type="pct"/>
            <w:vAlign w:val="center"/>
          </w:tcPr>
          <w:p w14:paraId="1A794408">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6.71</w:t>
            </w:r>
          </w:p>
        </w:tc>
        <w:tc>
          <w:tcPr>
            <w:tcW w:w="465" w:type="pct"/>
            <w:vAlign w:val="center"/>
          </w:tcPr>
          <w:p w14:paraId="0A018F64">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-2.21</w:t>
            </w:r>
          </w:p>
        </w:tc>
      </w:tr>
      <w:tr w14:paraId="05328DAF">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420" w:type="pct"/>
            <w:vAlign w:val="center"/>
          </w:tcPr>
          <w:p w14:paraId="65C03776">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5</w:t>
            </w:r>
          </w:p>
        </w:tc>
        <w:tc>
          <w:tcPr>
            <w:tcW w:w="376" w:type="pct"/>
            <w:vAlign w:val="center"/>
          </w:tcPr>
          <w:p w14:paraId="32C70EB1">
            <w:pPr>
              <w:spacing w:line="360" w:lineRule="auto"/>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S5</w:t>
            </w:r>
          </w:p>
        </w:tc>
        <w:tc>
          <w:tcPr>
            <w:tcW w:w="506" w:type="pct"/>
            <w:vAlign w:val="center"/>
          </w:tcPr>
          <w:p w14:paraId="4835D6B0">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-31.43</w:t>
            </w:r>
          </w:p>
        </w:tc>
        <w:tc>
          <w:tcPr>
            <w:tcW w:w="437" w:type="pct"/>
            <w:vAlign w:val="center"/>
          </w:tcPr>
          <w:p w14:paraId="2A4DFB6E">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4.84</w:t>
            </w:r>
          </w:p>
        </w:tc>
        <w:tc>
          <w:tcPr>
            <w:tcW w:w="465" w:type="pct"/>
            <w:vAlign w:val="center"/>
          </w:tcPr>
          <w:p w14:paraId="67B579AD">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-0.94</w:t>
            </w:r>
          </w:p>
        </w:tc>
        <w:tc>
          <w:tcPr>
            <w:tcW w:w="465" w:type="pct"/>
            <w:vAlign w:val="center"/>
          </w:tcPr>
          <w:p w14:paraId="403EAA33">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0.33</w:t>
            </w:r>
          </w:p>
        </w:tc>
        <w:tc>
          <w:tcPr>
            <w:tcW w:w="437" w:type="pct"/>
            <w:vAlign w:val="center"/>
          </w:tcPr>
          <w:p w14:paraId="0574ECAA">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1.25</w:t>
            </w:r>
          </w:p>
        </w:tc>
        <w:tc>
          <w:tcPr>
            <w:tcW w:w="429" w:type="pct"/>
            <w:vAlign w:val="center"/>
          </w:tcPr>
          <w:p w14:paraId="5A71034F">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11.87</w:t>
            </w:r>
          </w:p>
        </w:tc>
        <w:tc>
          <w:tcPr>
            <w:tcW w:w="515" w:type="pct"/>
            <w:vAlign w:val="center"/>
          </w:tcPr>
          <w:p w14:paraId="3C517235">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-0.58</w:t>
            </w:r>
          </w:p>
        </w:tc>
        <w:tc>
          <w:tcPr>
            <w:tcW w:w="479" w:type="pct"/>
            <w:vAlign w:val="center"/>
          </w:tcPr>
          <w:p w14:paraId="7E18E6B7">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9.67</w:t>
            </w:r>
          </w:p>
        </w:tc>
        <w:tc>
          <w:tcPr>
            <w:tcW w:w="465" w:type="pct"/>
            <w:vAlign w:val="center"/>
          </w:tcPr>
          <w:p w14:paraId="169F5B8E">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-2.29</w:t>
            </w:r>
          </w:p>
        </w:tc>
      </w:tr>
      <w:tr w14:paraId="2C21AD59">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420" w:type="pct"/>
            <w:vAlign w:val="center"/>
          </w:tcPr>
          <w:p w14:paraId="7EE59218">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6</w:t>
            </w:r>
          </w:p>
        </w:tc>
        <w:tc>
          <w:tcPr>
            <w:tcW w:w="376" w:type="pct"/>
            <w:vAlign w:val="center"/>
          </w:tcPr>
          <w:p w14:paraId="14196B15">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S6</w:t>
            </w:r>
          </w:p>
        </w:tc>
        <w:tc>
          <w:tcPr>
            <w:tcW w:w="506" w:type="pct"/>
            <w:vAlign w:val="center"/>
          </w:tcPr>
          <w:p w14:paraId="4401B74B">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-29.91</w:t>
            </w:r>
          </w:p>
        </w:tc>
        <w:tc>
          <w:tcPr>
            <w:tcW w:w="437" w:type="pct"/>
            <w:vAlign w:val="center"/>
          </w:tcPr>
          <w:p w14:paraId="40735823">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4.78</w:t>
            </w:r>
          </w:p>
        </w:tc>
        <w:tc>
          <w:tcPr>
            <w:tcW w:w="465" w:type="pct"/>
            <w:vAlign w:val="center"/>
          </w:tcPr>
          <w:p w14:paraId="4D6599A2">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-0.92</w:t>
            </w:r>
          </w:p>
        </w:tc>
        <w:tc>
          <w:tcPr>
            <w:tcW w:w="465" w:type="pct"/>
            <w:vAlign w:val="center"/>
          </w:tcPr>
          <w:p w14:paraId="63E7F163">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0.24</w:t>
            </w:r>
          </w:p>
        </w:tc>
        <w:tc>
          <w:tcPr>
            <w:tcW w:w="437" w:type="pct"/>
            <w:vAlign w:val="center"/>
          </w:tcPr>
          <w:p w14:paraId="06F641A2">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1.12</w:t>
            </w:r>
          </w:p>
        </w:tc>
        <w:tc>
          <w:tcPr>
            <w:tcW w:w="429" w:type="pct"/>
            <w:vAlign w:val="center"/>
          </w:tcPr>
          <w:p w14:paraId="3429E5BE">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11.45</w:t>
            </w:r>
          </w:p>
        </w:tc>
        <w:tc>
          <w:tcPr>
            <w:tcW w:w="515" w:type="pct"/>
            <w:vAlign w:val="center"/>
          </w:tcPr>
          <w:p w14:paraId="313DFEDD">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-0.65</w:t>
            </w:r>
          </w:p>
        </w:tc>
        <w:tc>
          <w:tcPr>
            <w:tcW w:w="479" w:type="pct"/>
            <w:vAlign w:val="center"/>
          </w:tcPr>
          <w:p w14:paraId="1A7104C0">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9.36</w:t>
            </w:r>
          </w:p>
        </w:tc>
        <w:tc>
          <w:tcPr>
            <w:tcW w:w="465" w:type="pct"/>
            <w:vAlign w:val="center"/>
          </w:tcPr>
          <w:p w14:paraId="20A7BE02">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-1.52</w:t>
            </w:r>
          </w:p>
        </w:tc>
      </w:tr>
      <w:tr w14:paraId="52367DE5">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420" w:type="pct"/>
            <w:vAlign w:val="center"/>
          </w:tcPr>
          <w:p w14:paraId="16ECA19E">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7</w:t>
            </w:r>
          </w:p>
        </w:tc>
        <w:tc>
          <w:tcPr>
            <w:tcW w:w="376" w:type="pct"/>
            <w:vAlign w:val="center"/>
          </w:tcPr>
          <w:p w14:paraId="4E61D750">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S7</w:t>
            </w:r>
          </w:p>
        </w:tc>
        <w:tc>
          <w:tcPr>
            <w:tcW w:w="506" w:type="pct"/>
            <w:vAlign w:val="center"/>
          </w:tcPr>
          <w:p w14:paraId="514F7C7E">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-28.96</w:t>
            </w:r>
          </w:p>
        </w:tc>
        <w:tc>
          <w:tcPr>
            <w:tcW w:w="437" w:type="pct"/>
            <w:vAlign w:val="center"/>
          </w:tcPr>
          <w:p w14:paraId="0CABDDA5">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4.91</w:t>
            </w:r>
          </w:p>
        </w:tc>
        <w:tc>
          <w:tcPr>
            <w:tcW w:w="465" w:type="pct"/>
            <w:vAlign w:val="center"/>
          </w:tcPr>
          <w:p w14:paraId="287B456F">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-0.55</w:t>
            </w:r>
          </w:p>
        </w:tc>
        <w:tc>
          <w:tcPr>
            <w:tcW w:w="465" w:type="pct"/>
            <w:vAlign w:val="center"/>
          </w:tcPr>
          <w:p w14:paraId="23E41C8C">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0.23</w:t>
            </w:r>
          </w:p>
        </w:tc>
        <w:tc>
          <w:tcPr>
            <w:tcW w:w="437" w:type="pct"/>
            <w:vAlign w:val="center"/>
          </w:tcPr>
          <w:p w14:paraId="0C73ADBC">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1.17</w:t>
            </w:r>
          </w:p>
        </w:tc>
        <w:tc>
          <w:tcPr>
            <w:tcW w:w="429" w:type="pct"/>
            <w:vAlign w:val="center"/>
          </w:tcPr>
          <w:p w14:paraId="526E361C">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11.21</w:t>
            </w:r>
          </w:p>
        </w:tc>
        <w:tc>
          <w:tcPr>
            <w:tcW w:w="515" w:type="pct"/>
            <w:vAlign w:val="center"/>
          </w:tcPr>
          <w:p w14:paraId="78BDC5A9">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-0.58</w:t>
            </w:r>
          </w:p>
        </w:tc>
        <w:tc>
          <w:tcPr>
            <w:tcW w:w="479" w:type="pct"/>
            <w:vAlign w:val="center"/>
          </w:tcPr>
          <w:p w14:paraId="5D049877">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9.75</w:t>
            </w:r>
          </w:p>
        </w:tc>
        <w:tc>
          <w:tcPr>
            <w:tcW w:w="465" w:type="pct"/>
            <w:vAlign w:val="center"/>
          </w:tcPr>
          <w:p w14:paraId="371C3612">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-1.12</w:t>
            </w:r>
          </w:p>
        </w:tc>
      </w:tr>
      <w:tr w14:paraId="65C7A9FE">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420" w:type="pct"/>
            <w:vAlign w:val="center"/>
          </w:tcPr>
          <w:p w14:paraId="760A4E33">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8</w:t>
            </w:r>
          </w:p>
        </w:tc>
        <w:tc>
          <w:tcPr>
            <w:tcW w:w="376" w:type="pct"/>
            <w:vAlign w:val="center"/>
          </w:tcPr>
          <w:p w14:paraId="1C6A2B27">
            <w:pPr>
              <w:spacing w:line="360" w:lineRule="auto"/>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S8</w:t>
            </w:r>
          </w:p>
        </w:tc>
        <w:tc>
          <w:tcPr>
            <w:tcW w:w="506" w:type="pct"/>
            <w:vAlign w:val="center"/>
          </w:tcPr>
          <w:p w14:paraId="483A02B5">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-29.64</w:t>
            </w:r>
          </w:p>
        </w:tc>
        <w:tc>
          <w:tcPr>
            <w:tcW w:w="437" w:type="pct"/>
            <w:vAlign w:val="center"/>
          </w:tcPr>
          <w:p w14:paraId="5647F8DB">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4.93</w:t>
            </w:r>
          </w:p>
        </w:tc>
        <w:tc>
          <w:tcPr>
            <w:tcW w:w="465" w:type="pct"/>
            <w:vAlign w:val="center"/>
          </w:tcPr>
          <w:p w14:paraId="6B84A7F3">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-0.76</w:t>
            </w:r>
          </w:p>
        </w:tc>
        <w:tc>
          <w:tcPr>
            <w:tcW w:w="465" w:type="pct"/>
            <w:vAlign w:val="center"/>
          </w:tcPr>
          <w:p w14:paraId="662E342D">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0.30</w:t>
            </w:r>
          </w:p>
        </w:tc>
        <w:tc>
          <w:tcPr>
            <w:tcW w:w="437" w:type="pct"/>
            <w:vAlign w:val="center"/>
          </w:tcPr>
          <w:p w14:paraId="2D185F09">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1.08</w:t>
            </w:r>
          </w:p>
        </w:tc>
        <w:tc>
          <w:tcPr>
            <w:tcW w:w="429" w:type="pct"/>
            <w:vAlign w:val="center"/>
          </w:tcPr>
          <w:p w14:paraId="341A790A">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11.51</w:t>
            </w:r>
          </w:p>
        </w:tc>
        <w:tc>
          <w:tcPr>
            <w:tcW w:w="515" w:type="pct"/>
            <w:vAlign w:val="center"/>
          </w:tcPr>
          <w:p w14:paraId="004A8DDE">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-0.64</w:t>
            </w:r>
          </w:p>
        </w:tc>
        <w:tc>
          <w:tcPr>
            <w:tcW w:w="479" w:type="pct"/>
            <w:vAlign w:val="center"/>
          </w:tcPr>
          <w:p w14:paraId="7A3BBBB7">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9.49</w:t>
            </w:r>
          </w:p>
        </w:tc>
        <w:tc>
          <w:tcPr>
            <w:tcW w:w="465" w:type="pct"/>
            <w:vAlign w:val="center"/>
          </w:tcPr>
          <w:p w14:paraId="7BA1BFE0">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-1.33</w:t>
            </w:r>
          </w:p>
        </w:tc>
      </w:tr>
      <w:tr w14:paraId="53FEA3E4">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420" w:type="pct"/>
            <w:vAlign w:val="center"/>
          </w:tcPr>
          <w:p w14:paraId="7C6CD629">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9</w:t>
            </w:r>
          </w:p>
        </w:tc>
        <w:tc>
          <w:tcPr>
            <w:tcW w:w="376" w:type="pct"/>
            <w:vAlign w:val="center"/>
          </w:tcPr>
          <w:p w14:paraId="00E3B72B">
            <w:pPr>
              <w:spacing w:line="360" w:lineRule="auto"/>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S9</w:t>
            </w:r>
          </w:p>
        </w:tc>
        <w:tc>
          <w:tcPr>
            <w:tcW w:w="506" w:type="pct"/>
            <w:vAlign w:val="center"/>
          </w:tcPr>
          <w:p w14:paraId="085013A0">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-31.57</w:t>
            </w:r>
          </w:p>
        </w:tc>
        <w:tc>
          <w:tcPr>
            <w:tcW w:w="437" w:type="pct"/>
            <w:vAlign w:val="center"/>
          </w:tcPr>
          <w:p w14:paraId="732BD0AB">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4.48</w:t>
            </w:r>
          </w:p>
        </w:tc>
        <w:tc>
          <w:tcPr>
            <w:tcW w:w="465" w:type="pct"/>
            <w:vAlign w:val="center"/>
          </w:tcPr>
          <w:p w14:paraId="2EE832FF">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-1.89</w:t>
            </w:r>
          </w:p>
        </w:tc>
        <w:tc>
          <w:tcPr>
            <w:tcW w:w="465" w:type="pct"/>
            <w:vAlign w:val="center"/>
          </w:tcPr>
          <w:p w14:paraId="25C4F7D1">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0.17</w:t>
            </w:r>
          </w:p>
        </w:tc>
        <w:tc>
          <w:tcPr>
            <w:tcW w:w="437" w:type="pct"/>
            <w:vAlign w:val="center"/>
          </w:tcPr>
          <w:p w14:paraId="42E38D4A">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0.86</w:t>
            </w:r>
          </w:p>
        </w:tc>
        <w:tc>
          <w:tcPr>
            <w:tcW w:w="429" w:type="pct"/>
            <w:vAlign w:val="center"/>
          </w:tcPr>
          <w:p w14:paraId="5A6FE76E">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12.01</w:t>
            </w:r>
          </w:p>
        </w:tc>
        <w:tc>
          <w:tcPr>
            <w:tcW w:w="515" w:type="pct"/>
            <w:vAlign w:val="center"/>
          </w:tcPr>
          <w:p w14:paraId="6EFAC706">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-0.70</w:t>
            </w:r>
          </w:p>
        </w:tc>
        <w:tc>
          <w:tcPr>
            <w:tcW w:w="479" w:type="pct"/>
            <w:vAlign w:val="center"/>
          </w:tcPr>
          <w:p w14:paraId="1095DC86">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7.81</w:t>
            </w:r>
          </w:p>
        </w:tc>
        <w:tc>
          <w:tcPr>
            <w:tcW w:w="465" w:type="pct"/>
            <w:vAlign w:val="center"/>
          </w:tcPr>
          <w:p w14:paraId="187EBC4B">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-1.28</w:t>
            </w:r>
          </w:p>
        </w:tc>
      </w:tr>
      <w:tr w14:paraId="61671A6B">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420" w:type="pct"/>
            <w:vAlign w:val="center"/>
          </w:tcPr>
          <w:p w14:paraId="13597CFC">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10</w:t>
            </w:r>
          </w:p>
        </w:tc>
        <w:tc>
          <w:tcPr>
            <w:tcW w:w="376" w:type="pct"/>
            <w:vAlign w:val="center"/>
          </w:tcPr>
          <w:p w14:paraId="2BFE590D">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S10</w:t>
            </w:r>
          </w:p>
        </w:tc>
        <w:tc>
          <w:tcPr>
            <w:tcW w:w="506" w:type="pct"/>
            <w:vAlign w:val="center"/>
          </w:tcPr>
          <w:p w14:paraId="6FA8A7CD">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-31.44</w:t>
            </w:r>
          </w:p>
        </w:tc>
        <w:tc>
          <w:tcPr>
            <w:tcW w:w="437" w:type="pct"/>
            <w:vAlign w:val="center"/>
          </w:tcPr>
          <w:p w14:paraId="07D741A9">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5.04</w:t>
            </w:r>
          </w:p>
        </w:tc>
        <w:tc>
          <w:tcPr>
            <w:tcW w:w="465" w:type="pct"/>
            <w:vAlign w:val="center"/>
          </w:tcPr>
          <w:p w14:paraId="1FB29466">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-0.69</w:t>
            </w:r>
          </w:p>
        </w:tc>
        <w:tc>
          <w:tcPr>
            <w:tcW w:w="465" w:type="pct"/>
            <w:vAlign w:val="center"/>
          </w:tcPr>
          <w:p w14:paraId="7AE718D1">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0.33</w:t>
            </w:r>
          </w:p>
        </w:tc>
        <w:tc>
          <w:tcPr>
            <w:tcW w:w="437" w:type="pct"/>
            <w:vAlign w:val="center"/>
          </w:tcPr>
          <w:p w14:paraId="00AB8E40">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1.28</w:t>
            </w:r>
          </w:p>
        </w:tc>
        <w:tc>
          <w:tcPr>
            <w:tcW w:w="429" w:type="pct"/>
            <w:vAlign w:val="center"/>
          </w:tcPr>
          <w:p w14:paraId="59C92250">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11.92</w:t>
            </w:r>
          </w:p>
        </w:tc>
        <w:tc>
          <w:tcPr>
            <w:tcW w:w="515" w:type="pct"/>
            <w:vAlign w:val="center"/>
          </w:tcPr>
          <w:p w14:paraId="3C0EB652">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-0.68</w:t>
            </w:r>
          </w:p>
        </w:tc>
        <w:tc>
          <w:tcPr>
            <w:tcW w:w="479" w:type="pct"/>
            <w:vAlign w:val="center"/>
          </w:tcPr>
          <w:p w14:paraId="19992C2D">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10.45</w:t>
            </w:r>
          </w:p>
        </w:tc>
        <w:tc>
          <w:tcPr>
            <w:tcW w:w="465" w:type="pct"/>
            <w:vAlign w:val="center"/>
          </w:tcPr>
          <w:p w14:paraId="171A10EB">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-2.01</w:t>
            </w:r>
          </w:p>
        </w:tc>
      </w:tr>
      <w:tr w14:paraId="31E7A5AB">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420" w:type="pct"/>
            <w:vAlign w:val="center"/>
          </w:tcPr>
          <w:p w14:paraId="1AE7FC0F">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11</w:t>
            </w:r>
          </w:p>
        </w:tc>
        <w:tc>
          <w:tcPr>
            <w:tcW w:w="376" w:type="pct"/>
            <w:vAlign w:val="center"/>
          </w:tcPr>
          <w:p w14:paraId="22EF7C32">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S11</w:t>
            </w:r>
          </w:p>
        </w:tc>
        <w:tc>
          <w:tcPr>
            <w:tcW w:w="506" w:type="pct"/>
            <w:vAlign w:val="center"/>
          </w:tcPr>
          <w:p w14:paraId="06ED4D74">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-32.44</w:t>
            </w:r>
          </w:p>
        </w:tc>
        <w:tc>
          <w:tcPr>
            <w:tcW w:w="437" w:type="pct"/>
            <w:vAlign w:val="center"/>
          </w:tcPr>
          <w:p w14:paraId="43FD55AD">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4.88</w:t>
            </w:r>
          </w:p>
        </w:tc>
        <w:tc>
          <w:tcPr>
            <w:tcW w:w="465" w:type="pct"/>
            <w:vAlign w:val="center"/>
          </w:tcPr>
          <w:p w14:paraId="6B8134F6">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-1.04</w:t>
            </w:r>
          </w:p>
        </w:tc>
        <w:tc>
          <w:tcPr>
            <w:tcW w:w="465" w:type="pct"/>
            <w:vAlign w:val="center"/>
          </w:tcPr>
          <w:p w14:paraId="641250E1">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0.31</w:t>
            </w:r>
          </w:p>
        </w:tc>
        <w:tc>
          <w:tcPr>
            <w:tcW w:w="437" w:type="pct"/>
            <w:vAlign w:val="center"/>
          </w:tcPr>
          <w:p w14:paraId="57E1C9F0">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1.14</w:t>
            </w:r>
          </w:p>
        </w:tc>
        <w:tc>
          <w:tcPr>
            <w:tcW w:w="429" w:type="pct"/>
            <w:vAlign w:val="center"/>
          </w:tcPr>
          <w:p w14:paraId="08E8F892">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12.3</w:t>
            </w:r>
          </w:p>
        </w:tc>
        <w:tc>
          <w:tcPr>
            <w:tcW w:w="515" w:type="pct"/>
            <w:vAlign w:val="center"/>
          </w:tcPr>
          <w:p w14:paraId="5D59526F">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-0.72</w:t>
            </w:r>
          </w:p>
        </w:tc>
        <w:tc>
          <w:tcPr>
            <w:tcW w:w="479" w:type="pct"/>
            <w:vAlign w:val="center"/>
          </w:tcPr>
          <w:p w14:paraId="2AE91AAD">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10.16</w:t>
            </w:r>
          </w:p>
        </w:tc>
        <w:tc>
          <w:tcPr>
            <w:tcW w:w="465" w:type="pct"/>
            <w:vAlign w:val="center"/>
          </w:tcPr>
          <w:p w14:paraId="54737893">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-2.01</w:t>
            </w:r>
          </w:p>
        </w:tc>
      </w:tr>
      <w:tr w14:paraId="2F452628">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420" w:type="pct"/>
            <w:vAlign w:val="center"/>
          </w:tcPr>
          <w:p w14:paraId="2E53D01A">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12</w:t>
            </w:r>
          </w:p>
        </w:tc>
        <w:tc>
          <w:tcPr>
            <w:tcW w:w="376" w:type="pct"/>
            <w:vAlign w:val="center"/>
          </w:tcPr>
          <w:p w14:paraId="3558BCF8">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S12</w:t>
            </w:r>
          </w:p>
        </w:tc>
        <w:tc>
          <w:tcPr>
            <w:tcW w:w="506" w:type="pct"/>
            <w:vAlign w:val="center"/>
          </w:tcPr>
          <w:p w14:paraId="37990EF7">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-32.05</w:t>
            </w:r>
          </w:p>
        </w:tc>
        <w:tc>
          <w:tcPr>
            <w:tcW w:w="437" w:type="pct"/>
            <w:vAlign w:val="center"/>
          </w:tcPr>
          <w:p w14:paraId="49F3B3F3">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4.58</w:t>
            </w:r>
          </w:p>
        </w:tc>
        <w:tc>
          <w:tcPr>
            <w:tcW w:w="465" w:type="pct"/>
            <w:vAlign w:val="center"/>
          </w:tcPr>
          <w:p w14:paraId="30FC5206">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-1.68</w:t>
            </w:r>
          </w:p>
        </w:tc>
        <w:tc>
          <w:tcPr>
            <w:tcW w:w="465" w:type="pct"/>
            <w:vAlign w:val="center"/>
          </w:tcPr>
          <w:p w14:paraId="6D02C0EF">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0.25</w:t>
            </w:r>
          </w:p>
        </w:tc>
        <w:tc>
          <w:tcPr>
            <w:tcW w:w="437" w:type="pct"/>
            <w:vAlign w:val="center"/>
          </w:tcPr>
          <w:p w14:paraId="6DA74F4C">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1.05</w:t>
            </w:r>
          </w:p>
        </w:tc>
        <w:tc>
          <w:tcPr>
            <w:tcW w:w="429" w:type="pct"/>
            <w:vAlign w:val="center"/>
          </w:tcPr>
          <w:p w14:paraId="729A19EB">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12.15</w:t>
            </w:r>
          </w:p>
        </w:tc>
        <w:tc>
          <w:tcPr>
            <w:tcW w:w="515" w:type="pct"/>
            <w:vAlign w:val="center"/>
          </w:tcPr>
          <w:p w14:paraId="75600D3F">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-0.68</w:t>
            </w:r>
          </w:p>
        </w:tc>
        <w:tc>
          <w:tcPr>
            <w:tcW w:w="479" w:type="pct"/>
            <w:vAlign w:val="center"/>
          </w:tcPr>
          <w:p w14:paraId="06A9D5BF">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8.51</w:t>
            </w:r>
          </w:p>
        </w:tc>
        <w:tc>
          <w:tcPr>
            <w:tcW w:w="465" w:type="pct"/>
            <w:vAlign w:val="center"/>
          </w:tcPr>
          <w:p w14:paraId="622323D7">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-1.49</w:t>
            </w:r>
          </w:p>
        </w:tc>
      </w:tr>
      <w:tr w14:paraId="6E1C06AD">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9" w:hRule="atLeast"/>
        </w:trPr>
        <w:tc>
          <w:tcPr>
            <w:tcW w:w="420" w:type="pct"/>
            <w:vAlign w:val="center"/>
          </w:tcPr>
          <w:p w14:paraId="51481FC5">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13</w:t>
            </w:r>
          </w:p>
        </w:tc>
        <w:tc>
          <w:tcPr>
            <w:tcW w:w="376" w:type="pct"/>
            <w:vAlign w:val="center"/>
          </w:tcPr>
          <w:p w14:paraId="34F4C628">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S13</w:t>
            </w:r>
          </w:p>
        </w:tc>
        <w:tc>
          <w:tcPr>
            <w:tcW w:w="506" w:type="pct"/>
            <w:vAlign w:val="center"/>
          </w:tcPr>
          <w:p w14:paraId="3B567186">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-32.1</w:t>
            </w:r>
          </w:p>
        </w:tc>
        <w:tc>
          <w:tcPr>
            <w:tcW w:w="437" w:type="pct"/>
            <w:vAlign w:val="center"/>
          </w:tcPr>
          <w:p w14:paraId="72841625">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4.66</w:t>
            </w:r>
          </w:p>
        </w:tc>
        <w:tc>
          <w:tcPr>
            <w:tcW w:w="465" w:type="pct"/>
            <w:vAlign w:val="center"/>
          </w:tcPr>
          <w:p w14:paraId="7B4D6A4B">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-1.32</w:t>
            </w:r>
          </w:p>
        </w:tc>
        <w:tc>
          <w:tcPr>
            <w:tcW w:w="465" w:type="pct"/>
            <w:vAlign w:val="center"/>
          </w:tcPr>
          <w:p w14:paraId="55F9405C">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0.21</w:t>
            </w:r>
          </w:p>
        </w:tc>
        <w:tc>
          <w:tcPr>
            <w:tcW w:w="437" w:type="pct"/>
            <w:vAlign w:val="center"/>
          </w:tcPr>
          <w:p w14:paraId="34669555">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1.10</w:t>
            </w:r>
          </w:p>
        </w:tc>
        <w:tc>
          <w:tcPr>
            <w:tcW w:w="429" w:type="pct"/>
            <w:vAlign w:val="center"/>
          </w:tcPr>
          <w:p w14:paraId="4AB87738">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11.36</w:t>
            </w:r>
          </w:p>
        </w:tc>
        <w:tc>
          <w:tcPr>
            <w:tcW w:w="515" w:type="pct"/>
            <w:vAlign w:val="center"/>
          </w:tcPr>
          <w:p w14:paraId="20AA91D8">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-0.72</w:t>
            </w:r>
          </w:p>
        </w:tc>
        <w:tc>
          <w:tcPr>
            <w:tcW w:w="479" w:type="pct"/>
            <w:vAlign w:val="center"/>
          </w:tcPr>
          <w:p w14:paraId="7A46E076">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8.25</w:t>
            </w:r>
          </w:p>
        </w:tc>
        <w:tc>
          <w:tcPr>
            <w:tcW w:w="465" w:type="pct"/>
            <w:vAlign w:val="center"/>
          </w:tcPr>
          <w:p w14:paraId="3E3C75FB">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-1.36</w:t>
            </w:r>
          </w:p>
        </w:tc>
      </w:tr>
      <w:tr w14:paraId="3DEAC018">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420" w:type="pct"/>
            <w:vAlign w:val="center"/>
          </w:tcPr>
          <w:p w14:paraId="1F32148D">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14</w:t>
            </w:r>
          </w:p>
        </w:tc>
        <w:tc>
          <w:tcPr>
            <w:tcW w:w="376" w:type="pct"/>
            <w:vAlign w:val="center"/>
          </w:tcPr>
          <w:p w14:paraId="0B652088">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S14</w:t>
            </w:r>
          </w:p>
        </w:tc>
        <w:tc>
          <w:tcPr>
            <w:tcW w:w="506" w:type="pct"/>
            <w:vAlign w:val="center"/>
          </w:tcPr>
          <w:p w14:paraId="543B53FC">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-32.6</w:t>
            </w:r>
          </w:p>
        </w:tc>
        <w:tc>
          <w:tcPr>
            <w:tcW w:w="437" w:type="pct"/>
            <w:vAlign w:val="center"/>
          </w:tcPr>
          <w:p w14:paraId="33459450">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4.17</w:t>
            </w:r>
          </w:p>
        </w:tc>
        <w:tc>
          <w:tcPr>
            <w:tcW w:w="465" w:type="pct"/>
            <w:vAlign w:val="center"/>
          </w:tcPr>
          <w:p w14:paraId="6F01B6AE">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-2.22</w:t>
            </w:r>
          </w:p>
        </w:tc>
        <w:tc>
          <w:tcPr>
            <w:tcW w:w="465" w:type="pct"/>
            <w:vAlign w:val="center"/>
          </w:tcPr>
          <w:p w14:paraId="482C5486">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0.23</w:t>
            </w:r>
          </w:p>
        </w:tc>
        <w:tc>
          <w:tcPr>
            <w:tcW w:w="437" w:type="pct"/>
            <w:vAlign w:val="center"/>
          </w:tcPr>
          <w:p w14:paraId="2964AA94">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0.91</w:t>
            </w:r>
          </w:p>
        </w:tc>
        <w:tc>
          <w:tcPr>
            <w:tcW w:w="429" w:type="pct"/>
            <w:vAlign w:val="center"/>
          </w:tcPr>
          <w:p w14:paraId="6BFB3960">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12.4</w:t>
            </w:r>
          </w:p>
        </w:tc>
        <w:tc>
          <w:tcPr>
            <w:tcW w:w="515" w:type="pct"/>
            <w:vAlign w:val="center"/>
          </w:tcPr>
          <w:p w14:paraId="65023662">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-1.21</w:t>
            </w:r>
          </w:p>
        </w:tc>
        <w:tc>
          <w:tcPr>
            <w:tcW w:w="479" w:type="pct"/>
            <w:vAlign w:val="center"/>
          </w:tcPr>
          <w:p w14:paraId="62CBA8A0">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7.98</w:t>
            </w:r>
          </w:p>
        </w:tc>
        <w:tc>
          <w:tcPr>
            <w:tcW w:w="465" w:type="pct"/>
            <w:vAlign w:val="center"/>
          </w:tcPr>
          <w:p w14:paraId="14F789F2">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-1.4</w:t>
            </w:r>
          </w:p>
        </w:tc>
      </w:tr>
      <w:tr w14:paraId="0DDB5EDC">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420" w:type="pct"/>
            <w:vAlign w:val="center"/>
          </w:tcPr>
          <w:p w14:paraId="2B7AE184">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15</w:t>
            </w:r>
          </w:p>
        </w:tc>
        <w:tc>
          <w:tcPr>
            <w:tcW w:w="376" w:type="pct"/>
            <w:vAlign w:val="center"/>
          </w:tcPr>
          <w:p w14:paraId="6458DF5A">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S15</w:t>
            </w:r>
          </w:p>
        </w:tc>
        <w:tc>
          <w:tcPr>
            <w:tcW w:w="506" w:type="pct"/>
            <w:vAlign w:val="center"/>
          </w:tcPr>
          <w:p w14:paraId="7206007D">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-33.63</w:t>
            </w:r>
          </w:p>
        </w:tc>
        <w:tc>
          <w:tcPr>
            <w:tcW w:w="437" w:type="pct"/>
            <w:vAlign w:val="center"/>
          </w:tcPr>
          <w:p w14:paraId="175C322C">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5.00</w:t>
            </w:r>
          </w:p>
        </w:tc>
        <w:tc>
          <w:tcPr>
            <w:tcW w:w="465" w:type="pct"/>
            <w:vAlign w:val="center"/>
          </w:tcPr>
          <w:p w14:paraId="34F4A2ED">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-0.94</w:t>
            </w:r>
          </w:p>
        </w:tc>
        <w:tc>
          <w:tcPr>
            <w:tcW w:w="465" w:type="pct"/>
            <w:vAlign w:val="center"/>
          </w:tcPr>
          <w:p w14:paraId="5E0D818D">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0.03</w:t>
            </w:r>
          </w:p>
        </w:tc>
        <w:tc>
          <w:tcPr>
            <w:tcW w:w="437" w:type="pct"/>
            <w:vAlign w:val="center"/>
          </w:tcPr>
          <w:p w14:paraId="1F6F86D7">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0.72</w:t>
            </w:r>
          </w:p>
        </w:tc>
        <w:tc>
          <w:tcPr>
            <w:tcW w:w="429" w:type="pct"/>
            <w:vAlign w:val="center"/>
          </w:tcPr>
          <w:p w14:paraId="72D44C56">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12.00</w:t>
            </w:r>
          </w:p>
        </w:tc>
        <w:tc>
          <w:tcPr>
            <w:tcW w:w="515" w:type="pct"/>
            <w:vAlign w:val="center"/>
          </w:tcPr>
          <w:p w14:paraId="6DC9D164">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-1.35</w:t>
            </w:r>
          </w:p>
        </w:tc>
        <w:tc>
          <w:tcPr>
            <w:tcW w:w="479" w:type="pct"/>
            <w:vAlign w:val="center"/>
          </w:tcPr>
          <w:p w14:paraId="68B73986">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7.48</w:t>
            </w:r>
          </w:p>
        </w:tc>
        <w:tc>
          <w:tcPr>
            <w:tcW w:w="465" w:type="pct"/>
            <w:vAlign w:val="center"/>
          </w:tcPr>
          <w:p w14:paraId="713844D6">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-4.92</w:t>
            </w:r>
          </w:p>
        </w:tc>
      </w:tr>
      <w:tr w14:paraId="036E3EB3">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420" w:type="pct"/>
            <w:vAlign w:val="center"/>
          </w:tcPr>
          <w:p w14:paraId="7926BA74">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16</w:t>
            </w:r>
          </w:p>
        </w:tc>
        <w:tc>
          <w:tcPr>
            <w:tcW w:w="376" w:type="pct"/>
            <w:vAlign w:val="center"/>
          </w:tcPr>
          <w:p w14:paraId="382FBF60">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S16</w:t>
            </w:r>
          </w:p>
        </w:tc>
        <w:tc>
          <w:tcPr>
            <w:tcW w:w="506" w:type="pct"/>
            <w:vAlign w:val="center"/>
          </w:tcPr>
          <w:p w14:paraId="13D42F74">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-32.19</w:t>
            </w:r>
          </w:p>
        </w:tc>
        <w:tc>
          <w:tcPr>
            <w:tcW w:w="437" w:type="pct"/>
            <w:vAlign w:val="center"/>
          </w:tcPr>
          <w:p w14:paraId="4CF0AE40">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4.51</w:t>
            </w:r>
          </w:p>
        </w:tc>
        <w:tc>
          <w:tcPr>
            <w:tcW w:w="465" w:type="pct"/>
            <w:vAlign w:val="center"/>
          </w:tcPr>
          <w:p w14:paraId="30836A44">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-1.23</w:t>
            </w:r>
          </w:p>
        </w:tc>
        <w:tc>
          <w:tcPr>
            <w:tcW w:w="465" w:type="pct"/>
            <w:vAlign w:val="center"/>
          </w:tcPr>
          <w:p w14:paraId="52030006">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0.11</w:t>
            </w:r>
          </w:p>
        </w:tc>
        <w:tc>
          <w:tcPr>
            <w:tcW w:w="437" w:type="pct"/>
            <w:vAlign w:val="center"/>
          </w:tcPr>
          <w:p w14:paraId="33CF314C">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0.29</w:t>
            </w:r>
          </w:p>
        </w:tc>
        <w:tc>
          <w:tcPr>
            <w:tcW w:w="429" w:type="pct"/>
            <w:vAlign w:val="center"/>
          </w:tcPr>
          <w:p w14:paraId="1855694E">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11.36</w:t>
            </w:r>
          </w:p>
        </w:tc>
        <w:tc>
          <w:tcPr>
            <w:tcW w:w="515" w:type="pct"/>
            <w:vAlign w:val="center"/>
          </w:tcPr>
          <w:p w14:paraId="6EB349DB">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-1.28</w:t>
            </w:r>
          </w:p>
        </w:tc>
        <w:tc>
          <w:tcPr>
            <w:tcW w:w="479" w:type="pct"/>
            <w:vAlign w:val="center"/>
          </w:tcPr>
          <w:p w14:paraId="31534B3E">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7.51</w:t>
            </w:r>
          </w:p>
        </w:tc>
        <w:tc>
          <w:tcPr>
            <w:tcW w:w="465" w:type="pct"/>
            <w:vAlign w:val="center"/>
          </w:tcPr>
          <w:p w14:paraId="3E189AE6">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-1.51</w:t>
            </w:r>
          </w:p>
        </w:tc>
      </w:tr>
      <w:tr w14:paraId="3EB04C2F">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420" w:type="pct"/>
            <w:vAlign w:val="center"/>
          </w:tcPr>
          <w:p w14:paraId="295B5C6B">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17</w:t>
            </w:r>
          </w:p>
        </w:tc>
        <w:tc>
          <w:tcPr>
            <w:tcW w:w="376" w:type="pct"/>
            <w:vAlign w:val="center"/>
          </w:tcPr>
          <w:p w14:paraId="79AF9E0A">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S17</w:t>
            </w:r>
          </w:p>
        </w:tc>
        <w:tc>
          <w:tcPr>
            <w:tcW w:w="506" w:type="pct"/>
            <w:vAlign w:val="center"/>
          </w:tcPr>
          <w:p w14:paraId="4097A851">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-28.51</w:t>
            </w:r>
          </w:p>
        </w:tc>
        <w:tc>
          <w:tcPr>
            <w:tcW w:w="437" w:type="pct"/>
            <w:vAlign w:val="center"/>
          </w:tcPr>
          <w:p w14:paraId="7E343AC7">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4.36</w:t>
            </w:r>
          </w:p>
        </w:tc>
        <w:tc>
          <w:tcPr>
            <w:tcW w:w="465" w:type="pct"/>
            <w:vAlign w:val="center"/>
          </w:tcPr>
          <w:p w14:paraId="706A08F0">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-1.55</w:t>
            </w:r>
          </w:p>
        </w:tc>
        <w:tc>
          <w:tcPr>
            <w:tcW w:w="465" w:type="pct"/>
            <w:vAlign w:val="center"/>
          </w:tcPr>
          <w:p w14:paraId="7A95A47B">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0.08</w:t>
            </w:r>
          </w:p>
        </w:tc>
        <w:tc>
          <w:tcPr>
            <w:tcW w:w="437" w:type="pct"/>
            <w:vAlign w:val="center"/>
          </w:tcPr>
          <w:p w14:paraId="44B01E0F">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0.88</w:t>
            </w:r>
          </w:p>
        </w:tc>
        <w:tc>
          <w:tcPr>
            <w:tcW w:w="429" w:type="pct"/>
            <w:vAlign w:val="center"/>
          </w:tcPr>
          <w:p w14:paraId="3CB070CD">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10.18</w:t>
            </w:r>
          </w:p>
        </w:tc>
        <w:tc>
          <w:tcPr>
            <w:tcW w:w="515" w:type="pct"/>
            <w:vAlign w:val="center"/>
          </w:tcPr>
          <w:p w14:paraId="634A1925">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-0.98</w:t>
            </w:r>
          </w:p>
        </w:tc>
        <w:tc>
          <w:tcPr>
            <w:tcW w:w="479" w:type="pct"/>
            <w:vAlign w:val="center"/>
          </w:tcPr>
          <w:p w14:paraId="30361377">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7.53</w:t>
            </w:r>
          </w:p>
        </w:tc>
        <w:tc>
          <w:tcPr>
            <w:tcW w:w="465" w:type="pct"/>
            <w:vAlign w:val="center"/>
          </w:tcPr>
          <w:p w14:paraId="5C0491B4">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-1.64</w:t>
            </w:r>
          </w:p>
        </w:tc>
      </w:tr>
      <w:tr w14:paraId="5C204918">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PrEx>
        <w:tc>
          <w:tcPr>
            <w:tcW w:w="420" w:type="pct"/>
            <w:vAlign w:val="center"/>
          </w:tcPr>
          <w:p w14:paraId="1F60BD1B">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18</w:t>
            </w:r>
          </w:p>
        </w:tc>
        <w:tc>
          <w:tcPr>
            <w:tcW w:w="376" w:type="pct"/>
            <w:vAlign w:val="center"/>
          </w:tcPr>
          <w:p w14:paraId="45E48B4A">
            <w:pPr>
              <w:spacing w:line="360" w:lineRule="auto"/>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S18</w:t>
            </w:r>
          </w:p>
        </w:tc>
        <w:tc>
          <w:tcPr>
            <w:tcW w:w="506" w:type="pct"/>
            <w:vAlign w:val="center"/>
          </w:tcPr>
          <w:p w14:paraId="132B7614">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-26.17</w:t>
            </w:r>
          </w:p>
        </w:tc>
        <w:tc>
          <w:tcPr>
            <w:tcW w:w="437" w:type="pct"/>
            <w:vAlign w:val="center"/>
          </w:tcPr>
          <w:p w14:paraId="45785C24">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3.18</w:t>
            </w:r>
          </w:p>
        </w:tc>
        <w:tc>
          <w:tcPr>
            <w:tcW w:w="465" w:type="pct"/>
            <w:vAlign w:val="center"/>
          </w:tcPr>
          <w:p w14:paraId="47CE62BC">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-1.67</w:t>
            </w:r>
          </w:p>
        </w:tc>
        <w:tc>
          <w:tcPr>
            <w:tcW w:w="465" w:type="pct"/>
            <w:vAlign w:val="center"/>
          </w:tcPr>
          <w:p w14:paraId="2E7602D3">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-0.07</w:t>
            </w:r>
          </w:p>
        </w:tc>
        <w:tc>
          <w:tcPr>
            <w:tcW w:w="437" w:type="pct"/>
            <w:vAlign w:val="center"/>
          </w:tcPr>
          <w:p w14:paraId="68A6F7E5">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0.11</w:t>
            </w:r>
          </w:p>
        </w:tc>
        <w:tc>
          <w:tcPr>
            <w:tcW w:w="429" w:type="pct"/>
            <w:vAlign w:val="center"/>
          </w:tcPr>
          <w:p w14:paraId="4A2A8281">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10.06</w:t>
            </w:r>
          </w:p>
        </w:tc>
        <w:tc>
          <w:tcPr>
            <w:tcW w:w="515" w:type="pct"/>
            <w:vAlign w:val="center"/>
          </w:tcPr>
          <w:p w14:paraId="02ADF0AC">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-0.69</w:t>
            </w:r>
          </w:p>
        </w:tc>
        <w:tc>
          <w:tcPr>
            <w:tcW w:w="479" w:type="pct"/>
            <w:vAlign w:val="center"/>
          </w:tcPr>
          <w:p w14:paraId="6B16EE56">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5.03</w:t>
            </w:r>
          </w:p>
        </w:tc>
        <w:tc>
          <w:tcPr>
            <w:tcW w:w="465" w:type="pct"/>
            <w:vAlign w:val="center"/>
          </w:tcPr>
          <w:p w14:paraId="12388EE2">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-1.28</w:t>
            </w:r>
          </w:p>
        </w:tc>
      </w:tr>
      <w:tr w14:paraId="62557A1F">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420" w:type="pct"/>
            <w:vAlign w:val="center"/>
          </w:tcPr>
          <w:p w14:paraId="4FD3CF5B">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19</w:t>
            </w:r>
          </w:p>
        </w:tc>
        <w:tc>
          <w:tcPr>
            <w:tcW w:w="376" w:type="pct"/>
            <w:vAlign w:val="center"/>
          </w:tcPr>
          <w:p w14:paraId="13014F59">
            <w:pPr>
              <w:spacing w:line="360" w:lineRule="auto"/>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S19</w:t>
            </w:r>
          </w:p>
        </w:tc>
        <w:tc>
          <w:tcPr>
            <w:tcW w:w="506" w:type="pct"/>
            <w:vAlign w:val="center"/>
          </w:tcPr>
          <w:p w14:paraId="3F3F84BD">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-29.56</w:t>
            </w:r>
          </w:p>
        </w:tc>
        <w:tc>
          <w:tcPr>
            <w:tcW w:w="437" w:type="pct"/>
            <w:vAlign w:val="center"/>
          </w:tcPr>
          <w:p w14:paraId="429FB1EB">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3.19</w:t>
            </w:r>
          </w:p>
        </w:tc>
        <w:tc>
          <w:tcPr>
            <w:tcW w:w="465" w:type="pct"/>
            <w:vAlign w:val="center"/>
          </w:tcPr>
          <w:p w14:paraId="672590F7">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-2.43</w:t>
            </w:r>
          </w:p>
        </w:tc>
        <w:tc>
          <w:tcPr>
            <w:tcW w:w="465" w:type="pct"/>
            <w:vAlign w:val="center"/>
          </w:tcPr>
          <w:p w14:paraId="0DA23850">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0.21</w:t>
            </w:r>
          </w:p>
        </w:tc>
        <w:tc>
          <w:tcPr>
            <w:tcW w:w="437" w:type="pct"/>
            <w:vAlign w:val="center"/>
          </w:tcPr>
          <w:p w14:paraId="3D0EFEA1">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0.10</w:t>
            </w:r>
          </w:p>
        </w:tc>
        <w:tc>
          <w:tcPr>
            <w:tcW w:w="429" w:type="pct"/>
            <w:vAlign w:val="center"/>
          </w:tcPr>
          <w:p w14:paraId="1EDAA861">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12.13</w:t>
            </w:r>
          </w:p>
        </w:tc>
        <w:tc>
          <w:tcPr>
            <w:tcW w:w="515" w:type="pct"/>
            <w:vAlign w:val="center"/>
          </w:tcPr>
          <w:p w14:paraId="7F81DC36">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-0.53</w:t>
            </w:r>
          </w:p>
        </w:tc>
        <w:tc>
          <w:tcPr>
            <w:tcW w:w="479" w:type="pct"/>
            <w:vAlign w:val="center"/>
          </w:tcPr>
          <w:p w14:paraId="3D836B24">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7.21</w:t>
            </w:r>
          </w:p>
        </w:tc>
        <w:tc>
          <w:tcPr>
            <w:tcW w:w="465" w:type="pct"/>
            <w:vAlign w:val="center"/>
          </w:tcPr>
          <w:p w14:paraId="182C0B36">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-1.99</w:t>
            </w:r>
          </w:p>
        </w:tc>
      </w:tr>
      <w:tr w14:paraId="031FCFD0">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420" w:type="pct"/>
            <w:vAlign w:val="center"/>
          </w:tcPr>
          <w:p w14:paraId="2B8916CD">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20</w:t>
            </w:r>
          </w:p>
        </w:tc>
        <w:tc>
          <w:tcPr>
            <w:tcW w:w="376" w:type="pct"/>
            <w:vAlign w:val="center"/>
          </w:tcPr>
          <w:p w14:paraId="45CF5A3A">
            <w:pPr>
              <w:spacing w:line="360" w:lineRule="auto"/>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S20</w:t>
            </w:r>
          </w:p>
        </w:tc>
        <w:tc>
          <w:tcPr>
            <w:tcW w:w="506" w:type="pct"/>
            <w:vAlign w:val="center"/>
          </w:tcPr>
          <w:p w14:paraId="101E39BC">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-30.24</w:t>
            </w:r>
          </w:p>
        </w:tc>
        <w:tc>
          <w:tcPr>
            <w:tcW w:w="437" w:type="pct"/>
            <w:vAlign w:val="center"/>
          </w:tcPr>
          <w:p w14:paraId="79D640D5">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3.21</w:t>
            </w:r>
          </w:p>
        </w:tc>
        <w:tc>
          <w:tcPr>
            <w:tcW w:w="465" w:type="pct"/>
            <w:vAlign w:val="center"/>
          </w:tcPr>
          <w:p w14:paraId="0F062C9E">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-4.51</w:t>
            </w:r>
          </w:p>
        </w:tc>
        <w:tc>
          <w:tcPr>
            <w:tcW w:w="465" w:type="pct"/>
            <w:vAlign w:val="center"/>
          </w:tcPr>
          <w:p w14:paraId="6E3F3C12">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0.36</w:t>
            </w:r>
          </w:p>
        </w:tc>
        <w:tc>
          <w:tcPr>
            <w:tcW w:w="437" w:type="pct"/>
            <w:vAlign w:val="center"/>
          </w:tcPr>
          <w:p w14:paraId="47A6DF3C">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0.12</w:t>
            </w:r>
          </w:p>
        </w:tc>
        <w:tc>
          <w:tcPr>
            <w:tcW w:w="429" w:type="pct"/>
            <w:vAlign w:val="center"/>
          </w:tcPr>
          <w:p w14:paraId="374CFAD6">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11.48</w:t>
            </w:r>
          </w:p>
        </w:tc>
        <w:tc>
          <w:tcPr>
            <w:tcW w:w="515" w:type="pct"/>
            <w:vAlign w:val="center"/>
          </w:tcPr>
          <w:p w14:paraId="0C9C0D50">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0.87</w:t>
            </w:r>
          </w:p>
        </w:tc>
        <w:tc>
          <w:tcPr>
            <w:tcW w:w="479" w:type="pct"/>
            <w:vAlign w:val="center"/>
          </w:tcPr>
          <w:p w14:paraId="691E7B29">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6.98</w:t>
            </w:r>
          </w:p>
        </w:tc>
        <w:tc>
          <w:tcPr>
            <w:tcW w:w="465" w:type="pct"/>
            <w:vAlign w:val="center"/>
          </w:tcPr>
          <w:p w14:paraId="3013F19E">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-2.01</w:t>
            </w:r>
          </w:p>
        </w:tc>
      </w:tr>
    </w:tbl>
    <w:p w14:paraId="34126796">
      <w:pPr>
        <w:spacing w:line="360" w:lineRule="auto"/>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表</w:t>
      </w:r>
      <w:r>
        <w:rPr>
          <w:rFonts w:ascii="Times New Roman" w:hAnsi="Times New Roman" w:eastAsia="宋体" w:cs="Times New Roman"/>
          <w:sz w:val="24"/>
          <w:szCs w:val="21"/>
        </w:rPr>
        <w:t xml:space="preserve">4-3 </w:t>
      </w:r>
      <w:r>
        <w:rPr>
          <w:rFonts w:hint="eastAsia" w:ascii="Times New Roman" w:hAnsi="Times New Roman" w:eastAsia="宋体" w:cs="Times New Roman"/>
          <w:sz w:val="24"/>
          <w:szCs w:val="21"/>
        </w:rPr>
        <w:t>炆黄精饮片味觉值测定结果</w:t>
      </w:r>
    </w:p>
    <w:p w14:paraId="79029882">
      <w:pPr>
        <w:spacing w:line="360" w:lineRule="auto"/>
        <w:jc w:val="center"/>
        <w:rPr>
          <w:rFonts w:ascii="Times New Roman" w:hAnsi="Times New Roman" w:eastAsia="宋体" w:cs="Times New Roman"/>
          <w:sz w:val="24"/>
          <w:szCs w:val="21"/>
        </w:rPr>
      </w:pPr>
      <w:r>
        <w:rPr>
          <w:rFonts w:ascii="Times New Roman" w:hAnsi="Times New Roman" w:eastAsia="宋体" w:cs="Times New Roman"/>
          <w:sz w:val="24"/>
          <w:szCs w:val="21"/>
        </w:rPr>
        <w:t xml:space="preserve">Tab.4-3 Determination results of taste value of </w:t>
      </w:r>
      <w:r>
        <w:rPr>
          <w:rFonts w:ascii="Times New Roman" w:hAnsi="Times New Roman" w:eastAsia="宋体" w:cs="Times New Roman"/>
          <w:sz w:val="24"/>
        </w:rPr>
        <w:t>stewed</w:t>
      </w:r>
      <w:r>
        <w:rPr>
          <w:rFonts w:ascii="Times New Roman" w:hAnsi="Times New Roman" w:eastAsia="宋体" w:cs="Times New Roman"/>
          <w:i/>
          <w:iCs/>
          <w:sz w:val="24"/>
        </w:rPr>
        <w:t xml:space="preserve"> Polygahatous</w:t>
      </w:r>
      <w:r>
        <w:rPr>
          <w:rFonts w:ascii="Times New Roman" w:hAnsi="Times New Roman" w:eastAsia="宋体" w:cs="Times New Roman"/>
          <w:sz w:val="24"/>
          <w:szCs w:val="21"/>
        </w:rPr>
        <w:t xml:space="preserve"> decoction pieces</w:t>
      </w:r>
    </w:p>
    <w:tbl>
      <w:tblPr>
        <w:tblStyle w:val="27"/>
        <w:tblW w:w="5000" w:type="pct"/>
        <w:jc w:val="center"/>
        <w:tblLayout w:type="autofit"/>
        <w:tblCellMar>
          <w:top w:w="0" w:type="dxa"/>
          <w:left w:w="108" w:type="dxa"/>
          <w:bottom w:w="0" w:type="dxa"/>
          <w:right w:w="108" w:type="dxa"/>
        </w:tblCellMar>
      </w:tblPr>
      <w:tblGrid>
        <w:gridCol w:w="667"/>
        <w:gridCol w:w="648"/>
        <w:gridCol w:w="919"/>
        <w:gridCol w:w="747"/>
        <w:gridCol w:w="805"/>
        <w:gridCol w:w="822"/>
        <w:gridCol w:w="747"/>
        <w:gridCol w:w="653"/>
        <w:gridCol w:w="889"/>
        <w:gridCol w:w="902"/>
        <w:gridCol w:w="723"/>
      </w:tblGrid>
      <w:tr w14:paraId="6568339C">
        <w:tblPrEx>
          <w:tblCellMar>
            <w:top w:w="0" w:type="dxa"/>
            <w:left w:w="108" w:type="dxa"/>
            <w:bottom w:w="0" w:type="dxa"/>
            <w:right w:w="108" w:type="dxa"/>
          </w:tblCellMar>
        </w:tblPrEx>
        <w:trPr>
          <w:jc w:val="center"/>
        </w:trPr>
        <w:tc>
          <w:tcPr>
            <w:tcW w:w="391" w:type="pct"/>
            <w:tcBorders>
              <w:top w:val="single" w:color="000000" w:sz="12" w:space="0"/>
              <w:bottom w:val="single" w:color="000000" w:sz="8" w:space="0"/>
            </w:tcBorders>
          </w:tcPr>
          <w:p w14:paraId="1B01BA5B">
            <w:pPr>
              <w:spacing w:line="360" w:lineRule="auto"/>
              <w:jc w:val="center"/>
              <w:rPr>
                <w:rFonts w:ascii="Times New Roman" w:hAnsi="Times New Roman" w:eastAsia="宋体" w:cs="Times New Roman"/>
                <w:szCs w:val="18"/>
              </w:rPr>
            </w:pPr>
            <w:r>
              <w:rPr>
                <w:rFonts w:hint="eastAsia" w:ascii="Times New Roman" w:hAnsi="Times New Roman" w:eastAsia="宋体" w:cs="Times New Roman"/>
                <w:szCs w:val="18"/>
              </w:rPr>
              <w:t>序号</w:t>
            </w:r>
          </w:p>
        </w:tc>
        <w:tc>
          <w:tcPr>
            <w:tcW w:w="380" w:type="pct"/>
            <w:tcBorders>
              <w:top w:val="single" w:color="000000" w:sz="12" w:space="0"/>
              <w:bottom w:val="single" w:color="000000" w:sz="8" w:space="0"/>
            </w:tcBorders>
          </w:tcPr>
          <w:p w14:paraId="7B178C18">
            <w:pPr>
              <w:spacing w:line="360" w:lineRule="auto"/>
              <w:jc w:val="center"/>
              <w:rPr>
                <w:rFonts w:ascii="Times New Roman" w:hAnsi="Times New Roman" w:eastAsia="宋体" w:cs="Times New Roman"/>
                <w:color w:val="000000"/>
                <w:szCs w:val="18"/>
              </w:rPr>
            </w:pPr>
            <w:r>
              <w:rPr>
                <w:rFonts w:hint="eastAsia" w:ascii="Times New Roman" w:hAnsi="Times New Roman" w:eastAsia="宋体" w:cs="Times New Roman"/>
                <w:color w:val="000000"/>
                <w:szCs w:val="18"/>
              </w:rPr>
              <w:t>批号</w:t>
            </w:r>
          </w:p>
        </w:tc>
        <w:tc>
          <w:tcPr>
            <w:tcW w:w="539" w:type="pct"/>
            <w:tcBorders>
              <w:top w:val="single" w:color="000000" w:sz="12" w:space="0"/>
              <w:bottom w:val="single" w:color="000000" w:sz="8" w:space="0"/>
            </w:tcBorders>
            <w:vAlign w:val="center"/>
          </w:tcPr>
          <w:p w14:paraId="3757ADA2">
            <w:pPr>
              <w:spacing w:line="360" w:lineRule="auto"/>
              <w:jc w:val="center"/>
              <w:rPr>
                <w:rFonts w:ascii="Times New Roman" w:hAnsi="Times New Roman" w:eastAsia="宋体" w:cs="Times New Roman"/>
                <w:szCs w:val="18"/>
              </w:rPr>
            </w:pPr>
            <w:r>
              <w:rPr>
                <w:rFonts w:hint="eastAsia" w:ascii="Times New Roman" w:hAnsi="Times New Roman" w:eastAsia="宋体" w:cs="Times New Roman"/>
                <w:color w:val="000000"/>
                <w:szCs w:val="18"/>
              </w:rPr>
              <w:t>酸</w:t>
            </w:r>
          </w:p>
        </w:tc>
        <w:tc>
          <w:tcPr>
            <w:tcW w:w="438" w:type="pct"/>
            <w:tcBorders>
              <w:top w:val="single" w:color="000000" w:sz="12" w:space="0"/>
              <w:bottom w:val="single" w:color="000000" w:sz="8" w:space="0"/>
            </w:tcBorders>
            <w:vAlign w:val="center"/>
          </w:tcPr>
          <w:p w14:paraId="148C7AB4">
            <w:pPr>
              <w:spacing w:line="360" w:lineRule="auto"/>
              <w:jc w:val="center"/>
              <w:rPr>
                <w:rFonts w:ascii="Times New Roman" w:hAnsi="Times New Roman" w:eastAsia="宋体" w:cs="Times New Roman"/>
                <w:szCs w:val="18"/>
              </w:rPr>
            </w:pPr>
            <w:r>
              <w:rPr>
                <w:rFonts w:hint="eastAsia" w:ascii="Times New Roman" w:hAnsi="Times New Roman" w:eastAsia="宋体" w:cs="Times New Roman"/>
                <w:color w:val="000000"/>
                <w:szCs w:val="18"/>
              </w:rPr>
              <w:t>苦</w:t>
            </w:r>
          </w:p>
        </w:tc>
        <w:tc>
          <w:tcPr>
            <w:tcW w:w="472" w:type="pct"/>
            <w:tcBorders>
              <w:top w:val="single" w:color="000000" w:sz="12" w:space="0"/>
              <w:bottom w:val="single" w:color="000000" w:sz="8" w:space="0"/>
            </w:tcBorders>
            <w:vAlign w:val="center"/>
          </w:tcPr>
          <w:p w14:paraId="5A1CD9E3">
            <w:pPr>
              <w:spacing w:line="360" w:lineRule="auto"/>
              <w:jc w:val="center"/>
              <w:rPr>
                <w:rFonts w:ascii="Times New Roman" w:hAnsi="Times New Roman" w:eastAsia="宋体" w:cs="Times New Roman"/>
                <w:szCs w:val="18"/>
              </w:rPr>
            </w:pPr>
            <w:r>
              <w:rPr>
                <w:rFonts w:hint="eastAsia" w:ascii="Times New Roman" w:hAnsi="Times New Roman" w:eastAsia="宋体" w:cs="Times New Roman"/>
                <w:color w:val="000000"/>
                <w:szCs w:val="18"/>
              </w:rPr>
              <w:t>涩</w:t>
            </w:r>
          </w:p>
        </w:tc>
        <w:tc>
          <w:tcPr>
            <w:tcW w:w="482" w:type="pct"/>
            <w:tcBorders>
              <w:top w:val="single" w:color="000000" w:sz="12" w:space="0"/>
              <w:bottom w:val="single" w:color="000000" w:sz="8" w:space="0"/>
            </w:tcBorders>
            <w:vAlign w:val="center"/>
          </w:tcPr>
          <w:p w14:paraId="4BBCEE8B">
            <w:pPr>
              <w:spacing w:line="360" w:lineRule="auto"/>
              <w:jc w:val="center"/>
              <w:rPr>
                <w:rFonts w:ascii="Times New Roman" w:hAnsi="Times New Roman" w:eastAsia="宋体" w:cs="Times New Roman"/>
                <w:szCs w:val="18"/>
              </w:rPr>
            </w:pPr>
            <w:r>
              <w:rPr>
                <w:rFonts w:hint="eastAsia" w:ascii="Times New Roman" w:hAnsi="Times New Roman" w:eastAsia="宋体" w:cs="Times New Roman"/>
                <w:color w:val="000000"/>
                <w:szCs w:val="18"/>
              </w:rPr>
              <w:t>后苦</w:t>
            </w:r>
          </w:p>
        </w:tc>
        <w:tc>
          <w:tcPr>
            <w:tcW w:w="438" w:type="pct"/>
            <w:tcBorders>
              <w:top w:val="single" w:color="000000" w:sz="12" w:space="0"/>
              <w:bottom w:val="single" w:color="000000" w:sz="8" w:space="0"/>
            </w:tcBorders>
            <w:vAlign w:val="center"/>
          </w:tcPr>
          <w:p w14:paraId="56473546">
            <w:pPr>
              <w:spacing w:line="360" w:lineRule="auto"/>
              <w:jc w:val="center"/>
              <w:rPr>
                <w:rFonts w:ascii="Times New Roman" w:hAnsi="Times New Roman" w:eastAsia="宋体" w:cs="Times New Roman"/>
                <w:szCs w:val="18"/>
              </w:rPr>
            </w:pPr>
            <w:r>
              <w:rPr>
                <w:rFonts w:hint="eastAsia" w:ascii="Times New Roman" w:hAnsi="Times New Roman" w:eastAsia="宋体" w:cs="Times New Roman"/>
                <w:color w:val="000000"/>
                <w:szCs w:val="18"/>
              </w:rPr>
              <w:t>后涩</w:t>
            </w:r>
          </w:p>
        </w:tc>
        <w:tc>
          <w:tcPr>
            <w:tcW w:w="383" w:type="pct"/>
            <w:tcBorders>
              <w:top w:val="single" w:color="000000" w:sz="12" w:space="0"/>
              <w:bottom w:val="single" w:color="000000" w:sz="8" w:space="0"/>
            </w:tcBorders>
            <w:vAlign w:val="center"/>
          </w:tcPr>
          <w:p w14:paraId="57C46CEB">
            <w:pPr>
              <w:spacing w:line="360" w:lineRule="auto"/>
              <w:jc w:val="center"/>
              <w:rPr>
                <w:rFonts w:ascii="Times New Roman" w:hAnsi="Times New Roman" w:eastAsia="宋体" w:cs="Times New Roman"/>
                <w:szCs w:val="18"/>
              </w:rPr>
            </w:pPr>
            <w:r>
              <w:rPr>
                <w:rFonts w:hint="eastAsia" w:ascii="Times New Roman" w:hAnsi="Times New Roman" w:eastAsia="宋体" w:cs="Times New Roman"/>
                <w:color w:val="000000"/>
                <w:szCs w:val="18"/>
              </w:rPr>
              <w:t>鲜</w:t>
            </w:r>
          </w:p>
        </w:tc>
        <w:tc>
          <w:tcPr>
            <w:tcW w:w="521" w:type="pct"/>
            <w:tcBorders>
              <w:top w:val="single" w:color="000000" w:sz="12" w:space="0"/>
              <w:bottom w:val="single" w:color="000000" w:sz="8" w:space="0"/>
            </w:tcBorders>
            <w:vAlign w:val="center"/>
          </w:tcPr>
          <w:p w14:paraId="27D0297F">
            <w:pPr>
              <w:spacing w:line="360" w:lineRule="auto"/>
              <w:jc w:val="center"/>
              <w:rPr>
                <w:rFonts w:ascii="Times New Roman" w:hAnsi="Times New Roman" w:eastAsia="宋体" w:cs="Times New Roman"/>
                <w:szCs w:val="18"/>
              </w:rPr>
            </w:pPr>
            <w:r>
              <w:rPr>
                <w:rFonts w:hint="eastAsia" w:ascii="Times New Roman" w:hAnsi="Times New Roman" w:eastAsia="宋体" w:cs="Times New Roman"/>
                <w:color w:val="000000"/>
                <w:szCs w:val="18"/>
              </w:rPr>
              <w:t>丰富度</w:t>
            </w:r>
          </w:p>
        </w:tc>
        <w:tc>
          <w:tcPr>
            <w:tcW w:w="529" w:type="pct"/>
            <w:tcBorders>
              <w:top w:val="single" w:color="000000" w:sz="12" w:space="0"/>
              <w:bottom w:val="single" w:color="000000" w:sz="8" w:space="0"/>
            </w:tcBorders>
            <w:vAlign w:val="center"/>
          </w:tcPr>
          <w:p w14:paraId="28622BDB">
            <w:pPr>
              <w:spacing w:line="360" w:lineRule="auto"/>
              <w:jc w:val="center"/>
              <w:rPr>
                <w:rFonts w:ascii="Times New Roman" w:hAnsi="Times New Roman" w:eastAsia="宋体" w:cs="Times New Roman"/>
                <w:szCs w:val="18"/>
              </w:rPr>
            </w:pPr>
            <w:r>
              <w:rPr>
                <w:rFonts w:hint="eastAsia" w:ascii="Times New Roman" w:hAnsi="Times New Roman" w:eastAsia="宋体" w:cs="Times New Roman"/>
                <w:color w:val="000000"/>
                <w:szCs w:val="18"/>
              </w:rPr>
              <w:t>咸</w:t>
            </w:r>
          </w:p>
        </w:tc>
        <w:tc>
          <w:tcPr>
            <w:tcW w:w="423" w:type="pct"/>
            <w:tcBorders>
              <w:top w:val="single" w:color="000000" w:sz="12" w:space="0"/>
              <w:bottom w:val="single" w:color="000000" w:sz="8" w:space="0"/>
            </w:tcBorders>
            <w:vAlign w:val="center"/>
          </w:tcPr>
          <w:p w14:paraId="727C3CF0">
            <w:pPr>
              <w:spacing w:line="360" w:lineRule="auto"/>
              <w:jc w:val="center"/>
              <w:rPr>
                <w:rFonts w:ascii="Times New Roman" w:hAnsi="Times New Roman" w:eastAsia="宋体" w:cs="Times New Roman"/>
                <w:szCs w:val="18"/>
              </w:rPr>
            </w:pPr>
            <w:r>
              <w:rPr>
                <w:rFonts w:hint="eastAsia" w:ascii="Times New Roman" w:hAnsi="Times New Roman" w:eastAsia="宋体" w:cs="Times New Roman"/>
                <w:color w:val="000000"/>
                <w:szCs w:val="18"/>
              </w:rPr>
              <w:t>甜味</w:t>
            </w:r>
          </w:p>
        </w:tc>
      </w:tr>
      <w:tr w14:paraId="25326A6B">
        <w:tblPrEx>
          <w:tblCellMar>
            <w:top w:w="0" w:type="dxa"/>
            <w:left w:w="108" w:type="dxa"/>
            <w:bottom w:w="0" w:type="dxa"/>
            <w:right w:w="108" w:type="dxa"/>
          </w:tblCellMar>
        </w:tblPrEx>
        <w:trPr>
          <w:jc w:val="center"/>
        </w:trPr>
        <w:tc>
          <w:tcPr>
            <w:tcW w:w="391" w:type="pct"/>
            <w:tcBorders>
              <w:top w:val="single" w:color="000000" w:sz="8" w:space="0"/>
            </w:tcBorders>
          </w:tcPr>
          <w:p w14:paraId="65687532">
            <w:pPr>
              <w:spacing w:line="360" w:lineRule="auto"/>
              <w:rPr>
                <w:rFonts w:ascii="Times New Roman" w:hAnsi="Times New Roman" w:eastAsia="宋体" w:cs="Times New Roman"/>
                <w:szCs w:val="18"/>
              </w:rPr>
            </w:pPr>
            <w:r>
              <w:rPr>
                <w:rFonts w:ascii="Times New Roman" w:hAnsi="Times New Roman" w:eastAsia="宋体" w:cs="Times New Roman"/>
                <w:szCs w:val="18"/>
              </w:rPr>
              <w:t>1</w:t>
            </w:r>
          </w:p>
        </w:tc>
        <w:tc>
          <w:tcPr>
            <w:tcW w:w="380" w:type="pct"/>
            <w:tcBorders>
              <w:top w:val="single" w:color="000000" w:sz="8" w:space="0"/>
            </w:tcBorders>
          </w:tcPr>
          <w:p w14:paraId="6E2318A5">
            <w:pPr>
              <w:spacing w:line="360" w:lineRule="auto"/>
              <w:rPr>
                <w:rFonts w:ascii="Times New Roman" w:hAnsi="Times New Roman" w:eastAsia="宋体" w:cs="Times New Roman"/>
                <w:szCs w:val="18"/>
              </w:rPr>
            </w:pPr>
            <w:r>
              <w:rPr>
                <w:rFonts w:ascii="Times New Roman" w:hAnsi="Times New Roman" w:eastAsia="宋体" w:cs="Times New Roman"/>
                <w:szCs w:val="18"/>
              </w:rPr>
              <w:t>W1</w:t>
            </w:r>
          </w:p>
        </w:tc>
        <w:tc>
          <w:tcPr>
            <w:tcW w:w="539" w:type="pct"/>
            <w:tcBorders>
              <w:top w:val="single" w:color="000000" w:sz="8" w:space="0"/>
            </w:tcBorders>
            <w:vAlign w:val="center"/>
          </w:tcPr>
          <w:p w14:paraId="7E0E3B5B">
            <w:pPr>
              <w:spacing w:line="360" w:lineRule="auto"/>
              <w:rPr>
                <w:rFonts w:ascii="Times New Roman" w:hAnsi="Times New Roman" w:eastAsia="宋体" w:cs="Times New Roman"/>
                <w:szCs w:val="18"/>
              </w:rPr>
            </w:pPr>
            <w:r>
              <w:rPr>
                <w:rFonts w:ascii="Times New Roman" w:hAnsi="Times New Roman" w:eastAsia="宋体" w:cs="Times New Roman"/>
                <w:szCs w:val="18"/>
              </w:rPr>
              <w:t>-11.28</w:t>
            </w:r>
          </w:p>
        </w:tc>
        <w:tc>
          <w:tcPr>
            <w:tcW w:w="438" w:type="pct"/>
            <w:tcBorders>
              <w:top w:val="single" w:color="000000" w:sz="8" w:space="0"/>
            </w:tcBorders>
            <w:vAlign w:val="center"/>
          </w:tcPr>
          <w:p w14:paraId="286C6BF7">
            <w:pPr>
              <w:spacing w:line="360" w:lineRule="auto"/>
              <w:rPr>
                <w:rFonts w:ascii="Times New Roman" w:hAnsi="Times New Roman" w:eastAsia="宋体" w:cs="Times New Roman"/>
                <w:szCs w:val="18"/>
              </w:rPr>
            </w:pPr>
            <w:r>
              <w:rPr>
                <w:rFonts w:ascii="Times New Roman" w:hAnsi="Times New Roman" w:eastAsia="宋体" w:cs="Times New Roman"/>
                <w:szCs w:val="18"/>
              </w:rPr>
              <w:t>4.36</w:t>
            </w:r>
          </w:p>
        </w:tc>
        <w:tc>
          <w:tcPr>
            <w:tcW w:w="472" w:type="pct"/>
            <w:tcBorders>
              <w:top w:val="single" w:color="000000" w:sz="8" w:space="0"/>
            </w:tcBorders>
            <w:vAlign w:val="center"/>
          </w:tcPr>
          <w:p w14:paraId="48C16867">
            <w:pPr>
              <w:spacing w:line="360" w:lineRule="auto"/>
              <w:rPr>
                <w:rFonts w:ascii="Times New Roman" w:hAnsi="Times New Roman" w:eastAsia="宋体" w:cs="Times New Roman"/>
                <w:szCs w:val="18"/>
              </w:rPr>
            </w:pPr>
            <w:r>
              <w:rPr>
                <w:rFonts w:ascii="Times New Roman" w:hAnsi="Times New Roman" w:eastAsia="宋体" w:cs="Times New Roman"/>
                <w:szCs w:val="18"/>
              </w:rPr>
              <w:t>-1.68</w:t>
            </w:r>
          </w:p>
        </w:tc>
        <w:tc>
          <w:tcPr>
            <w:tcW w:w="482" w:type="pct"/>
            <w:tcBorders>
              <w:top w:val="single" w:color="000000" w:sz="8" w:space="0"/>
            </w:tcBorders>
            <w:vAlign w:val="center"/>
          </w:tcPr>
          <w:p w14:paraId="48195804">
            <w:pPr>
              <w:spacing w:line="360" w:lineRule="auto"/>
              <w:rPr>
                <w:rFonts w:ascii="Times New Roman" w:hAnsi="Times New Roman" w:eastAsia="宋体" w:cs="Times New Roman"/>
                <w:szCs w:val="18"/>
              </w:rPr>
            </w:pPr>
            <w:r>
              <w:rPr>
                <w:rFonts w:ascii="Times New Roman" w:hAnsi="Times New Roman" w:eastAsia="宋体" w:cs="Times New Roman"/>
                <w:szCs w:val="18"/>
              </w:rPr>
              <w:t>0.69</w:t>
            </w:r>
          </w:p>
        </w:tc>
        <w:tc>
          <w:tcPr>
            <w:tcW w:w="438" w:type="pct"/>
            <w:tcBorders>
              <w:top w:val="single" w:color="000000" w:sz="8" w:space="0"/>
            </w:tcBorders>
            <w:vAlign w:val="center"/>
          </w:tcPr>
          <w:p w14:paraId="075E9E5A">
            <w:pPr>
              <w:spacing w:line="360" w:lineRule="auto"/>
              <w:rPr>
                <w:rFonts w:ascii="Times New Roman" w:hAnsi="Times New Roman" w:eastAsia="宋体" w:cs="Times New Roman"/>
                <w:szCs w:val="18"/>
              </w:rPr>
            </w:pPr>
            <w:r>
              <w:rPr>
                <w:rFonts w:ascii="Times New Roman" w:hAnsi="Times New Roman" w:eastAsia="宋体" w:cs="Times New Roman"/>
                <w:szCs w:val="18"/>
              </w:rPr>
              <w:t>0.78</w:t>
            </w:r>
          </w:p>
        </w:tc>
        <w:tc>
          <w:tcPr>
            <w:tcW w:w="383" w:type="pct"/>
            <w:tcBorders>
              <w:top w:val="single" w:color="000000" w:sz="8" w:space="0"/>
            </w:tcBorders>
            <w:vAlign w:val="center"/>
          </w:tcPr>
          <w:p w14:paraId="7B1060C8">
            <w:pPr>
              <w:spacing w:line="360" w:lineRule="auto"/>
              <w:rPr>
                <w:rFonts w:ascii="Times New Roman" w:hAnsi="Times New Roman" w:eastAsia="宋体" w:cs="Times New Roman"/>
                <w:szCs w:val="18"/>
              </w:rPr>
            </w:pPr>
            <w:r>
              <w:rPr>
                <w:rFonts w:ascii="Times New Roman" w:hAnsi="Times New Roman" w:eastAsia="宋体" w:cs="Times New Roman"/>
                <w:szCs w:val="18"/>
              </w:rPr>
              <w:t>5.63</w:t>
            </w:r>
          </w:p>
        </w:tc>
        <w:tc>
          <w:tcPr>
            <w:tcW w:w="521" w:type="pct"/>
            <w:tcBorders>
              <w:top w:val="single" w:color="000000" w:sz="8" w:space="0"/>
            </w:tcBorders>
            <w:vAlign w:val="center"/>
          </w:tcPr>
          <w:p w14:paraId="7AB503B2">
            <w:pPr>
              <w:spacing w:line="360" w:lineRule="auto"/>
              <w:rPr>
                <w:rFonts w:ascii="Times New Roman" w:hAnsi="Times New Roman" w:eastAsia="宋体" w:cs="Times New Roman"/>
                <w:szCs w:val="18"/>
              </w:rPr>
            </w:pPr>
            <w:r>
              <w:rPr>
                <w:rFonts w:ascii="Times New Roman" w:hAnsi="Times New Roman" w:eastAsia="宋体" w:cs="Times New Roman"/>
                <w:szCs w:val="18"/>
              </w:rPr>
              <w:t>-0.41</w:t>
            </w:r>
          </w:p>
        </w:tc>
        <w:tc>
          <w:tcPr>
            <w:tcW w:w="529" w:type="pct"/>
            <w:tcBorders>
              <w:top w:val="single" w:color="000000" w:sz="8" w:space="0"/>
            </w:tcBorders>
            <w:vAlign w:val="center"/>
          </w:tcPr>
          <w:p w14:paraId="71245D34">
            <w:pPr>
              <w:spacing w:line="360" w:lineRule="auto"/>
              <w:rPr>
                <w:rFonts w:ascii="Times New Roman" w:hAnsi="Times New Roman" w:eastAsia="宋体" w:cs="Times New Roman"/>
                <w:szCs w:val="18"/>
              </w:rPr>
            </w:pPr>
            <w:r>
              <w:rPr>
                <w:rFonts w:ascii="Times New Roman" w:hAnsi="Times New Roman" w:eastAsia="宋体" w:cs="Times New Roman"/>
                <w:szCs w:val="18"/>
              </w:rPr>
              <w:t>3.69</w:t>
            </w:r>
          </w:p>
        </w:tc>
        <w:tc>
          <w:tcPr>
            <w:tcW w:w="423" w:type="pct"/>
            <w:tcBorders>
              <w:top w:val="single" w:color="000000" w:sz="8" w:space="0"/>
            </w:tcBorders>
            <w:vAlign w:val="center"/>
          </w:tcPr>
          <w:p w14:paraId="086F704A">
            <w:pPr>
              <w:spacing w:line="360" w:lineRule="auto"/>
              <w:rPr>
                <w:rFonts w:ascii="Times New Roman" w:hAnsi="Times New Roman" w:eastAsia="宋体" w:cs="Times New Roman"/>
                <w:szCs w:val="18"/>
              </w:rPr>
            </w:pPr>
            <w:r>
              <w:rPr>
                <w:rFonts w:ascii="Times New Roman" w:hAnsi="Times New Roman" w:eastAsia="宋体" w:cs="Times New Roman"/>
                <w:szCs w:val="18"/>
              </w:rPr>
              <w:t>3.69</w:t>
            </w:r>
          </w:p>
        </w:tc>
      </w:tr>
      <w:tr w14:paraId="55210F70">
        <w:tblPrEx>
          <w:tblCellMar>
            <w:top w:w="0" w:type="dxa"/>
            <w:left w:w="108" w:type="dxa"/>
            <w:bottom w:w="0" w:type="dxa"/>
            <w:right w:w="108" w:type="dxa"/>
          </w:tblCellMar>
        </w:tblPrEx>
        <w:trPr>
          <w:jc w:val="center"/>
        </w:trPr>
        <w:tc>
          <w:tcPr>
            <w:tcW w:w="391" w:type="pct"/>
          </w:tcPr>
          <w:p w14:paraId="5292C489">
            <w:pPr>
              <w:spacing w:line="360" w:lineRule="auto"/>
              <w:rPr>
                <w:rFonts w:ascii="Times New Roman" w:hAnsi="Times New Roman" w:eastAsia="宋体" w:cs="Times New Roman"/>
                <w:szCs w:val="18"/>
              </w:rPr>
            </w:pPr>
            <w:r>
              <w:rPr>
                <w:rFonts w:ascii="Times New Roman" w:hAnsi="Times New Roman" w:eastAsia="宋体" w:cs="Times New Roman"/>
                <w:szCs w:val="18"/>
              </w:rPr>
              <w:t>2</w:t>
            </w:r>
          </w:p>
        </w:tc>
        <w:tc>
          <w:tcPr>
            <w:tcW w:w="380" w:type="pct"/>
          </w:tcPr>
          <w:p w14:paraId="2588B774">
            <w:pPr>
              <w:spacing w:line="360" w:lineRule="auto"/>
              <w:rPr>
                <w:rFonts w:ascii="Times New Roman" w:hAnsi="Times New Roman" w:eastAsia="宋体" w:cs="Times New Roman"/>
                <w:szCs w:val="18"/>
              </w:rPr>
            </w:pPr>
            <w:r>
              <w:rPr>
                <w:rFonts w:ascii="Times New Roman" w:hAnsi="Times New Roman" w:eastAsia="宋体" w:cs="Times New Roman"/>
                <w:szCs w:val="18"/>
              </w:rPr>
              <w:t>W2</w:t>
            </w:r>
          </w:p>
        </w:tc>
        <w:tc>
          <w:tcPr>
            <w:tcW w:w="539" w:type="pct"/>
            <w:vAlign w:val="center"/>
          </w:tcPr>
          <w:p w14:paraId="617FB30F">
            <w:pPr>
              <w:spacing w:line="360" w:lineRule="auto"/>
              <w:rPr>
                <w:rFonts w:ascii="Times New Roman" w:hAnsi="Times New Roman" w:eastAsia="宋体" w:cs="Times New Roman"/>
                <w:szCs w:val="18"/>
              </w:rPr>
            </w:pPr>
            <w:r>
              <w:rPr>
                <w:rFonts w:ascii="Times New Roman" w:hAnsi="Times New Roman" w:eastAsia="宋体" w:cs="Times New Roman"/>
                <w:szCs w:val="18"/>
              </w:rPr>
              <w:t>-13.38</w:t>
            </w:r>
          </w:p>
        </w:tc>
        <w:tc>
          <w:tcPr>
            <w:tcW w:w="438" w:type="pct"/>
            <w:vAlign w:val="center"/>
          </w:tcPr>
          <w:p w14:paraId="193834D1">
            <w:pPr>
              <w:spacing w:line="360" w:lineRule="auto"/>
              <w:rPr>
                <w:rFonts w:ascii="Times New Roman" w:hAnsi="Times New Roman" w:eastAsia="宋体" w:cs="Times New Roman"/>
                <w:szCs w:val="18"/>
              </w:rPr>
            </w:pPr>
            <w:r>
              <w:rPr>
                <w:rFonts w:ascii="Times New Roman" w:hAnsi="Times New Roman" w:eastAsia="宋体" w:cs="Times New Roman"/>
                <w:szCs w:val="18"/>
              </w:rPr>
              <w:t>4.41</w:t>
            </w:r>
          </w:p>
        </w:tc>
        <w:tc>
          <w:tcPr>
            <w:tcW w:w="472" w:type="pct"/>
            <w:vAlign w:val="center"/>
          </w:tcPr>
          <w:p w14:paraId="362F5A69">
            <w:pPr>
              <w:spacing w:line="360" w:lineRule="auto"/>
              <w:rPr>
                <w:rFonts w:ascii="Times New Roman" w:hAnsi="Times New Roman" w:eastAsia="宋体" w:cs="Times New Roman"/>
                <w:szCs w:val="18"/>
              </w:rPr>
            </w:pPr>
            <w:r>
              <w:rPr>
                <w:rFonts w:ascii="Times New Roman" w:hAnsi="Times New Roman" w:eastAsia="宋体" w:cs="Times New Roman"/>
                <w:szCs w:val="18"/>
              </w:rPr>
              <w:t>-2.02</w:t>
            </w:r>
          </w:p>
        </w:tc>
        <w:tc>
          <w:tcPr>
            <w:tcW w:w="482" w:type="pct"/>
            <w:vAlign w:val="center"/>
          </w:tcPr>
          <w:p w14:paraId="2B583472">
            <w:pPr>
              <w:spacing w:line="360" w:lineRule="auto"/>
              <w:rPr>
                <w:rFonts w:ascii="Times New Roman" w:hAnsi="Times New Roman" w:eastAsia="宋体" w:cs="Times New Roman"/>
                <w:szCs w:val="18"/>
              </w:rPr>
            </w:pPr>
            <w:r>
              <w:rPr>
                <w:rFonts w:ascii="Times New Roman" w:hAnsi="Times New Roman" w:eastAsia="宋体" w:cs="Times New Roman"/>
                <w:szCs w:val="18"/>
              </w:rPr>
              <w:t>0.53</w:t>
            </w:r>
          </w:p>
        </w:tc>
        <w:tc>
          <w:tcPr>
            <w:tcW w:w="438" w:type="pct"/>
            <w:vAlign w:val="center"/>
          </w:tcPr>
          <w:p w14:paraId="706FF3BF">
            <w:pPr>
              <w:spacing w:line="360" w:lineRule="auto"/>
              <w:rPr>
                <w:rFonts w:ascii="Times New Roman" w:hAnsi="Times New Roman" w:eastAsia="宋体" w:cs="Times New Roman"/>
                <w:szCs w:val="18"/>
              </w:rPr>
            </w:pPr>
            <w:r>
              <w:rPr>
                <w:rFonts w:ascii="Times New Roman" w:hAnsi="Times New Roman" w:eastAsia="宋体" w:cs="Times New Roman"/>
                <w:szCs w:val="18"/>
              </w:rPr>
              <w:t>0.74</w:t>
            </w:r>
          </w:p>
        </w:tc>
        <w:tc>
          <w:tcPr>
            <w:tcW w:w="383" w:type="pct"/>
            <w:vAlign w:val="center"/>
          </w:tcPr>
          <w:p w14:paraId="4F0C9262">
            <w:pPr>
              <w:spacing w:line="360" w:lineRule="auto"/>
              <w:rPr>
                <w:rFonts w:ascii="Times New Roman" w:hAnsi="Times New Roman" w:eastAsia="宋体" w:cs="Times New Roman"/>
                <w:szCs w:val="18"/>
              </w:rPr>
            </w:pPr>
            <w:r>
              <w:rPr>
                <w:rFonts w:ascii="Times New Roman" w:hAnsi="Times New Roman" w:eastAsia="宋体" w:cs="Times New Roman"/>
                <w:szCs w:val="18"/>
              </w:rPr>
              <w:t>5.36</w:t>
            </w:r>
          </w:p>
        </w:tc>
        <w:tc>
          <w:tcPr>
            <w:tcW w:w="521" w:type="pct"/>
            <w:vAlign w:val="center"/>
          </w:tcPr>
          <w:p w14:paraId="11956453">
            <w:pPr>
              <w:spacing w:line="360" w:lineRule="auto"/>
              <w:rPr>
                <w:rFonts w:ascii="Times New Roman" w:hAnsi="Times New Roman" w:eastAsia="宋体" w:cs="Times New Roman"/>
                <w:szCs w:val="18"/>
              </w:rPr>
            </w:pPr>
            <w:r>
              <w:rPr>
                <w:rFonts w:ascii="Times New Roman" w:hAnsi="Times New Roman" w:eastAsia="宋体" w:cs="Times New Roman"/>
                <w:szCs w:val="18"/>
              </w:rPr>
              <w:t>-0.43</w:t>
            </w:r>
          </w:p>
        </w:tc>
        <w:tc>
          <w:tcPr>
            <w:tcW w:w="529" w:type="pct"/>
            <w:vAlign w:val="center"/>
          </w:tcPr>
          <w:p w14:paraId="292A6D98">
            <w:pPr>
              <w:spacing w:line="360" w:lineRule="auto"/>
              <w:rPr>
                <w:rFonts w:ascii="Times New Roman" w:hAnsi="Times New Roman" w:eastAsia="宋体" w:cs="Times New Roman"/>
                <w:szCs w:val="18"/>
              </w:rPr>
            </w:pPr>
            <w:r>
              <w:rPr>
                <w:rFonts w:ascii="Times New Roman" w:hAnsi="Times New Roman" w:eastAsia="宋体" w:cs="Times New Roman"/>
                <w:szCs w:val="18"/>
              </w:rPr>
              <w:t>-0.45</w:t>
            </w:r>
          </w:p>
        </w:tc>
        <w:tc>
          <w:tcPr>
            <w:tcW w:w="423" w:type="pct"/>
            <w:vAlign w:val="center"/>
          </w:tcPr>
          <w:p w14:paraId="721BDAD7">
            <w:pPr>
              <w:spacing w:line="360" w:lineRule="auto"/>
              <w:rPr>
                <w:rFonts w:ascii="Times New Roman" w:hAnsi="Times New Roman" w:eastAsia="宋体" w:cs="Times New Roman"/>
                <w:szCs w:val="18"/>
              </w:rPr>
            </w:pPr>
            <w:r>
              <w:rPr>
                <w:rFonts w:ascii="Times New Roman" w:hAnsi="Times New Roman" w:eastAsia="宋体" w:cs="Times New Roman"/>
                <w:szCs w:val="18"/>
              </w:rPr>
              <w:t>2.86</w:t>
            </w:r>
          </w:p>
        </w:tc>
      </w:tr>
      <w:tr w14:paraId="68398AAC">
        <w:tblPrEx>
          <w:tblCellMar>
            <w:top w:w="0" w:type="dxa"/>
            <w:left w:w="108" w:type="dxa"/>
            <w:bottom w:w="0" w:type="dxa"/>
            <w:right w:w="108" w:type="dxa"/>
          </w:tblCellMar>
        </w:tblPrEx>
        <w:trPr>
          <w:jc w:val="center"/>
        </w:trPr>
        <w:tc>
          <w:tcPr>
            <w:tcW w:w="391" w:type="pct"/>
          </w:tcPr>
          <w:p w14:paraId="03F2D64A">
            <w:pPr>
              <w:spacing w:line="360" w:lineRule="auto"/>
              <w:rPr>
                <w:rFonts w:ascii="Times New Roman" w:hAnsi="Times New Roman" w:eastAsia="宋体" w:cs="Times New Roman"/>
                <w:szCs w:val="18"/>
              </w:rPr>
            </w:pPr>
            <w:r>
              <w:rPr>
                <w:rFonts w:ascii="Times New Roman" w:hAnsi="Times New Roman" w:eastAsia="宋体" w:cs="Times New Roman"/>
                <w:szCs w:val="18"/>
              </w:rPr>
              <w:t>3</w:t>
            </w:r>
          </w:p>
        </w:tc>
        <w:tc>
          <w:tcPr>
            <w:tcW w:w="380" w:type="pct"/>
          </w:tcPr>
          <w:p w14:paraId="3937DDB6">
            <w:pPr>
              <w:spacing w:line="360" w:lineRule="auto"/>
              <w:rPr>
                <w:rFonts w:ascii="Times New Roman" w:hAnsi="Times New Roman" w:eastAsia="宋体" w:cs="Times New Roman"/>
                <w:szCs w:val="18"/>
              </w:rPr>
            </w:pPr>
            <w:r>
              <w:rPr>
                <w:rFonts w:ascii="Times New Roman" w:hAnsi="Times New Roman" w:eastAsia="宋体" w:cs="Times New Roman"/>
                <w:szCs w:val="18"/>
              </w:rPr>
              <w:t>W3</w:t>
            </w:r>
          </w:p>
        </w:tc>
        <w:tc>
          <w:tcPr>
            <w:tcW w:w="539" w:type="pct"/>
            <w:vAlign w:val="center"/>
          </w:tcPr>
          <w:p w14:paraId="2D96AE98">
            <w:pPr>
              <w:spacing w:line="360" w:lineRule="auto"/>
              <w:rPr>
                <w:rFonts w:ascii="Times New Roman" w:hAnsi="Times New Roman" w:eastAsia="宋体" w:cs="Times New Roman"/>
                <w:szCs w:val="18"/>
              </w:rPr>
            </w:pPr>
            <w:r>
              <w:rPr>
                <w:rFonts w:ascii="Times New Roman" w:hAnsi="Times New Roman" w:eastAsia="宋体" w:cs="Times New Roman"/>
                <w:szCs w:val="18"/>
              </w:rPr>
              <w:t>-11.96</w:t>
            </w:r>
          </w:p>
        </w:tc>
        <w:tc>
          <w:tcPr>
            <w:tcW w:w="438" w:type="pct"/>
            <w:vAlign w:val="center"/>
          </w:tcPr>
          <w:p w14:paraId="00E62059">
            <w:pPr>
              <w:spacing w:line="360" w:lineRule="auto"/>
              <w:rPr>
                <w:rFonts w:ascii="Times New Roman" w:hAnsi="Times New Roman" w:eastAsia="宋体" w:cs="Times New Roman"/>
                <w:szCs w:val="18"/>
              </w:rPr>
            </w:pPr>
            <w:r>
              <w:rPr>
                <w:rFonts w:ascii="Times New Roman" w:hAnsi="Times New Roman" w:eastAsia="宋体" w:cs="Times New Roman"/>
                <w:szCs w:val="18"/>
              </w:rPr>
              <w:t>4.13</w:t>
            </w:r>
          </w:p>
        </w:tc>
        <w:tc>
          <w:tcPr>
            <w:tcW w:w="472" w:type="pct"/>
            <w:vAlign w:val="center"/>
          </w:tcPr>
          <w:p w14:paraId="6F8DCC37">
            <w:pPr>
              <w:spacing w:line="360" w:lineRule="auto"/>
              <w:rPr>
                <w:rFonts w:ascii="Times New Roman" w:hAnsi="Times New Roman" w:eastAsia="宋体" w:cs="Times New Roman"/>
                <w:szCs w:val="18"/>
              </w:rPr>
            </w:pPr>
            <w:r>
              <w:rPr>
                <w:rFonts w:ascii="Times New Roman" w:hAnsi="Times New Roman" w:eastAsia="宋体" w:cs="Times New Roman"/>
                <w:szCs w:val="18"/>
              </w:rPr>
              <w:t>-1.53</w:t>
            </w:r>
          </w:p>
        </w:tc>
        <w:tc>
          <w:tcPr>
            <w:tcW w:w="482" w:type="pct"/>
            <w:vAlign w:val="center"/>
          </w:tcPr>
          <w:p w14:paraId="4A160F3C">
            <w:pPr>
              <w:spacing w:line="360" w:lineRule="auto"/>
              <w:rPr>
                <w:rFonts w:ascii="Times New Roman" w:hAnsi="Times New Roman" w:eastAsia="宋体" w:cs="Times New Roman"/>
                <w:szCs w:val="18"/>
              </w:rPr>
            </w:pPr>
            <w:r>
              <w:rPr>
                <w:rFonts w:ascii="Times New Roman" w:hAnsi="Times New Roman" w:eastAsia="宋体" w:cs="Times New Roman"/>
                <w:szCs w:val="18"/>
              </w:rPr>
              <w:t>0.31</w:t>
            </w:r>
          </w:p>
        </w:tc>
        <w:tc>
          <w:tcPr>
            <w:tcW w:w="438" w:type="pct"/>
            <w:vAlign w:val="center"/>
          </w:tcPr>
          <w:p w14:paraId="108149EF">
            <w:pPr>
              <w:spacing w:line="360" w:lineRule="auto"/>
              <w:rPr>
                <w:rFonts w:ascii="Times New Roman" w:hAnsi="Times New Roman" w:eastAsia="宋体" w:cs="Times New Roman"/>
                <w:szCs w:val="18"/>
              </w:rPr>
            </w:pPr>
            <w:r>
              <w:rPr>
                <w:rFonts w:ascii="Times New Roman" w:hAnsi="Times New Roman" w:eastAsia="宋体" w:cs="Times New Roman"/>
                <w:szCs w:val="18"/>
              </w:rPr>
              <w:t>0.91</w:t>
            </w:r>
          </w:p>
        </w:tc>
        <w:tc>
          <w:tcPr>
            <w:tcW w:w="383" w:type="pct"/>
            <w:vAlign w:val="center"/>
          </w:tcPr>
          <w:p w14:paraId="721D0960">
            <w:pPr>
              <w:spacing w:line="360" w:lineRule="auto"/>
              <w:rPr>
                <w:rFonts w:ascii="Times New Roman" w:hAnsi="Times New Roman" w:eastAsia="宋体" w:cs="Times New Roman"/>
                <w:szCs w:val="18"/>
              </w:rPr>
            </w:pPr>
            <w:r>
              <w:rPr>
                <w:rFonts w:ascii="Times New Roman" w:hAnsi="Times New Roman" w:eastAsia="宋体" w:cs="Times New Roman"/>
                <w:szCs w:val="18"/>
              </w:rPr>
              <w:t>4.83</w:t>
            </w:r>
          </w:p>
        </w:tc>
        <w:tc>
          <w:tcPr>
            <w:tcW w:w="521" w:type="pct"/>
            <w:vAlign w:val="center"/>
          </w:tcPr>
          <w:p w14:paraId="4C86F7E7">
            <w:pPr>
              <w:spacing w:line="360" w:lineRule="auto"/>
              <w:rPr>
                <w:rFonts w:ascii="Times New Roman" w:hAnsi="Times New Roman" w:eastAsia="宋体" w:cs="Times New Roman"/>
                <w:szCs w:val="18"/>
              </w:rPr>
            </w:pPr>
            <w:r>
              <w:rPr>
                <w:rFonts w:ascii="Times New Roman" w:hAnsi="Times New Roman" w:eastAsia="宋体" w:cs="Times New Roman"/>
                <w:szCs w:val="18"/>
              </w:rPr>
              <w:t>-0.38</w:t>
            </w:r>
          </w:p>
        </w:tc>
        <w:tc>
          <w:tcPr>
            <w:tcW w:w="529" w:type="pct"/>
            <w:vAlign w:val="center"/>
          </w:tcPr>
          <w:p w14:paraId="73D63570">
            <w:pPr>
              <w:spacing w:line="360" w:lineRule="auto"/>
              <w:rPr>
                <w:rFonts w:ascii="Times New Roman" w:hAnsi="Times New Roman" w:eastAsia="宋体" w:cs="Times New Roman"/>
                <w:szCs w:val="18"/>
              </w:rPr>
            </w:pPr>
            <w:r>
              <w:rPr>
                <w:rFonts w:ascii="Times New Roman" w:hAnsi="Times New Roman" w:eastAsia="宋体" w:cs="Times New Roman"/>
                <w:szCs w:val="18"/>
              </w:rPr>
              <w:t>0.98</w:t>
            </w:r>
          </w:p>
        </w:tc>
        <w:tc>
          <w:tcPr>
            <w:tcW w:w="423" w:type="pct"/>
            <w:vAlign w:val="center"/>
          </w:tcPr>
          <w:p w14:paraId="59BF7350">
            <w:pPr>
              <w:spacing w:line="360" w:lineRule="auto"/>
              <w:rPr>
                <w:rFonts w:ascii="Times New Roman" w:hAnsi="Times New Roman" w:eastAsia="宋体" w:cs="Times New Roman"/>
                <w:szCs w:val="18"/>
              </w:rPr>
            </w:pPr>
            <w:r>
              <w:rPr>
                <w:rFonts w:ascii="Times New Roman" w:hAnsi="Times New Roman" w:eastAsia="宋体" w:cs="Times New Roman"/>
                <w:szCs w:val="18"/>
              </w:rPr>
              <w:t>2.91</w:t>
            </w:r>
          </w:p>
        </w:tc>
      </w:tr>
      <w:tr w14:paraId="5383C48D">
        <w:tblPrEx>
          <w:tblCellMar>
            <w:top w:w="0" w:type="dxa"/>
            <w:left w:w="108" w:type="dxa"/>
            <w:bottom w:w="0" w:type="dxa"/>
            <w:right w:w="108" w:type="dxa"/>
          </w:tblCellMar>
        </w:tblPrEx>
        <w:trPr>
          <w:jc w:val="center"/>
        </w:trPr>
        <w:tc>
          <w:tcPr>
            <w:tcW w:w="391" w:type="pct"/>
          </w:tcPr>
          <w:p w14:paraId="2597F28D">
            <w:pPr>
              <w:spacing w:line="360" w:lineRule="auto"/>
              <w:rPr>
                <w:rFonts w:ascii="Times New Roman" w:hAnsi="Times New Roman" w:eastAsia="宋体" w:cs="Times New Roman"/>
                <w:szCs w:val="18"/>
              </w:rPr>
            </w:pPr>
            <w:r>
              <w:rPr>
                <w:rFonts w:ascii="Times New Roman" w:hAnsi="Times New Roman" w:eastAsia="宋体" w:cs="Times New Roman"/>
                <w:szCs w:val="18"/>
              </w:rPr>
              <w:t>4</w:t>
            </w:r>
          </w:p>
        </w:tc>
        <w:tc>
          <w:tcPr>
            <w:tcW w:w="380" w:type="pct"/>
          </w:tcPr>
          <w:p w14:paraId="5D9745A1">
            <w:pPr>
              <w:spacing w:line="360" w:lineRule="auto"/>
              <w:rPr>
                <w:rFonts w:ascii="Times New Roman" w:hAnsi="Times New Roman" w:eastAsia="宋体" w:cs="Times New Roman"/>
                <w:szCs w:val="18"/>
              </w:rPr>
            </w:pPr>
            <w:r>
              <w:rPr>
                <w:rFonts w:ascii="Times New Roman" w:hAnsi="Times New Roman" w:eastAsia="宋体" w:cs="Times New Roman"/>
                <w:szCs w:val="18"/>
              </w:rPr>
              <w:t>W4</w:t>
            </w:r>
          </w:p>
        </w:tc>
        <w:tc>
          <w:tcPr>
            <w:tcW w:w="539" w:type="pct"/>
            <w:vAlign w:val="center"/>
          </w:tcPr>
          <w:p w14:paraId="18F05C9A">
            <w:pPr>
              <w:spacing w:line="360" w:lineRule="auto"/>
              <w:rPr>
                <w:rFonts w:ascii="Times New Roman" w:hAnsi="Times New Roman" w:eastAsia="宋体" w:cs="Times New Roman"/>
                <w:szCs w:val="18"/>
              </w:rPr>
            </w:pPr>
            <w:r>
              <w:rPr>
                <w:rFonts w:ascii="Times New Roman" w:hAnsi="Times New Roman" w:eastAsia="宋体" w:cs="Times New Roman"/>
                <w:szCs w:val="18"/>
              </w:rPr>
              <w:t>-12.77</w:t>
            </w:r>
          </w:p>
        </w:tc>
        <w:tc>
          <w:tcPr>
            <w:tcW w:w="438" w:type="pct"/>
            <w:vAlign w:val="center"/>
          </w:tcPr>
          <w:p w14:paraId="1A55A8BF">
            <w:pPr>
              <w:spacing w:line="360" w:lineRule="auto"/>
              <w:rPr>
                <w:rFonts w:ascii="Times New Roman" w:hAnsi="Times New Roman" w:eastAsia="宋体" w:cs="Times New Roman"/>
                <w:szCs w:val="18"/>
              </w:rPr>
            </w:pPr>
            <w:r>
              <w:rPr>
                <w:rFonts w:ascii="Times New Roman" w:hAnsi="Times New Roman" w:eastAsia="宋体" w:cs="Times New Roman"/>
                <w:szCs w:val="18"/>
              </w:rPr>
              <w:t>4.40</w:t>
            </w:r>
          </w:p>
        </w:tc>
        <w:tc>
          <w:tcPr>
            <w:tcW w:w="472" w:type="pct"/>
            <w:vAlign w:val="center"/>
          </w:tcPr>
          <w:p w14:paraId="6A44F70C">
            <w:pPr>
              <w:spacing w:line="360" w:lineRule="auto"/>
              <w:rPr>
                <w:rFonts w:ascii="Times New Roman" w:hAnsi="Times New Roman" w:eastAsia="宋体" w:cs="Times New Roman"/>
                <w:szCs w:val="18"/>
              </w:rPr>
            </w:pPr>
            <w:r>
              <w:rPr>
                <w:rFonts w:ascii="Times New Roman" w:hAnsi="Times New Roman" w:eastAsia="宋体" w:cs="Times New Roman"/>
                <w:szCs w:val="18"/>
              </w:rPr>
              <w:t>-0.99</w:t>
            </w:r>
          </w:p>
        </w:tc>
        <w:tc>
          <w:tcPr>
            <w:tcW w:w="482" w:type="pct"/>
            <w:vAlign w:val="center"/>
          </w:tcPr>
          <w:p w14:paraId="587B4E87">
            <w:pPr>
              <w:spacing w:line="360" w:lineRule="auto"/>
              <w:rPr>
                <w:rFonts w:ascii="Times New Roman" w:hAnsi="Times New Roman" w:eastAsia="宋体" w:cs="Times New Roman"/>
                <w:szCs w:val="18"/>
              </w:rPr>
            </w:pPr>
            <w:r>
              <w:rPr>
                <w:rFonts w:ascii="Times New Roman" w:hAnsi="Times New Roman" w:eastAsia="宋体" w:cs="Times New Roman"/>
                <w:szCs w:val="18"/>
              </w:rPr>
              <w:t>0.44</w:t>
            </w:r>
          </w:p>
        </w:tc>
        <w:tc>
          <w:tcPr>
            <w:tcW w:w="438" w:type="pct"/>
            <w:vAlign w:val="center"/>
          </w:tcPr>
          <w:p w14:paraId="739D2EC5">
            <w:pPr>
              <w:spacing w:line="360" w:lineRule="auto"/>
              <w:rPr>
                <w:rFonts w:ascii="Times New Roman" w:hAnsi="Times New Roman" w:eastAsia="宋体" w:cs="Times New Roman"/>
                <w:szCs w:val="18"/>
              </w:rPr>
            </w:pPr>
            <w:r>
              <w:rPr>
                <w:rFonts w:ascii="Times New Roman" w:hAnsi="Times New Roman" w:eastAsia="宋体" w:cs="Times New Roman"/>
                <w:szCs w:val="18"/>
              </w:rPr>
              <w:t>1.12</w:t>
            </w:r>
          </w:p>
        </w:tc>
        <w:tc>
          <w:tcPr>
            <w:tcW w:w="383" w:type="pct"/>
            <w:vAlign w:val="center"/>
          </w:tcPr>
          <w:p w14:paraId="708BF745">
            <w:pPr>
              <w:spacing w:line="360" w:lineRule="auto"/>
              <w:rPr>
                <w:rFonts w:ascii="Times New Roman" w:hAnsi="Times New Roman" w:eastAsia="宋体" w:cs="Times New Roman"/>
                <w:szCs w:val="18"/>
              </w:rPr>
            </w:pPr>
            <w:r>
              <w:rPr>
                <w:rFonts w:ascii="Times New Roman" w:hAnsi="Times New Roman" w:eastAsia="宋体" w:cs="Times New Roman"/>
                <w:szCs w:val="18"/>
              </w:rPr>
              <w:t>5.28</w:t>
            </w:r>
          </w:p>
        </w:tc>
        <w:tc>
          <w:tcPr>
            <w:tcW w:w="521" w:type="pct"/>
            <w:vAlign w:val="center"/>
          </w:tcPr>
          <w:p w14:paraId="31A974F9">
            <w:pPr>
              <w:spacing w:line="360" w:lineRule="auto"/>
              <w:rPr>
                <w:rFonts w:ascii="Times New Roman" w:hAnsi="Times New Roman" w:eastAsia="宋体" w:cs="Times New Roman"/>
                <w:szCs w:val="18"/>
              </w:rPr>
            </w:pPr>
            <w:r>
              <w:rPr>
                <w:rFonts w:ascii="Times New Roman" w:hAnsi="Times New Roman" w:eastAsia="宋体" w:cs="Times New Roman"/>
                <w:szCs w:val="18"/>
              </w:rPr>
              <w:t>-0.39</w:t>
            </w:r>
          </w:p>
        </w:tc>
        <w:tc>
          <w:tcPr>
            <w:tcW w:w="529" w:type="pct"/>
            <w:vAlign w:val="center"/>
          </w:tcPr>
          <w:p w14:paraId="60145418">
            <w:pPr>
              <w:spacing w:line="360" w:lineRule="auto"/>
              <w:rPr>
                <w:rFonts w:ascii="Times New Roman" w:hAnsi="Times New Roman" w:eastAsia="宋体" w:cs="Times New Roman"/>
                <w:szCs w:val="18"/>
              </w:rPr>
            </w:pPr>
            <w:r>
              <w:rPr>
                <w:rFonts w:ascii="Times New Roman" w:hAnsi="Times New Roman" w:eastAsia="宋体" w:cs="Times New Roman"/>
                <w:szCs w:val="18"/>
              </w:rPr>
              <w:t>3.45</w:t>
            </w:r>
          </w:p>
        </w:tc>
        <w:tc>
          <w:tcPr>
            <w:tcW w:w="423" w:type="pct"/>
            <w:vAlign w:val="center"/>
          </w:tcPr>
          <w:p w14:paraId="1946EF4E">
            <w:pPr>
              <w:spacing w:line="360" w:lineRule="auto"/>
              <w:rPr>
                <w:rFonts w:ascii="Times New Roman" w:hAnsi="Times New Roman" w:eastAsia="宋体" w:cs="Times New Roman"/>
                <w:szCs w:val="18"/>
              </w:rPr>
            </w:pPr>
            <w:r>
              <w:rPr>
                <w:rFonts w:ascii="Times New Roman" w:hAnsi="Times New Roman" w:eastAsia="宋体" w:cs="Times New Roman"/>
                <w:szCs w:val="18"/>
              </w:rPr>
              <w:t>2.55</w:t>
            </w:r>
          </w:p>
        </w:tc>
      </w:tr>
      <w:tr w14:paraId="3353FC4D">
        <w:tblPrEx>
          <w:tblCellMar>
            <w:top w:w="0" w:type="dxa"/>
            <w:left w:w="108" w:type="dxa"/>
            <w:bottom w:w="0" w:type="dxa"/>
            <w:right w:w="108" w:type="dxa"/>
          </w:tblCellMar>
        </w:tblPrEx>
        <w:trPr>
          <w:jc w:val="center"/>
        </w:trPr>
        <w:tc>
          <w:tcPr>
            <w:tcW w:w="391" w:type="pct"/>
          </w:tcPr>
          <w:p w14:paraId="69794F4F">
            <w:pPr>
              <w:spacing w:line="360" w:lineRule="auto"/>
              <w:rPr>
                <w:rFonts w:ascii="Times New Roman" w:hAnsi="Times New Roman" w:eastAsia="宋体" w:cs="Times New Roman"/>
                <w:szCs w:val="18"/>
              </w:rPr>
            </w:pPr>
            <w:r>
              <w:rPr>
                <w:rFonts w:ascii="Times New Roman" w:hAnsi="Times New Roman" w:eastAsia="宋体" w:cs="Times New Roman"/>
                <w:szCs w:val="18"/>
              </w:rPr>
              <w:t>5</w:t>
            </w:r>
          </w:p>
        </w:tc>
        <w:tc>
          <w:tcPr>
            <w:tcW w:w="380" w:type="pct"/>
          </w:tcPr>
          <w:p w14:paraId="4CC1739B">
            <w:pPr>
              <w:spacing w:line="360" w:lineRule="auto"/>
              <w:rPr>
                <w:rFonts w:ascii="Times New Roman" w:hAnsi="Times New Roman" w:eastAsia="宋体" w:cs="Times New Roman"/>
                <w:szCs w:val="18"/>
              </w:rPr>
            </w:pPr>
            <w:r>
              <w:rPr>
                <w:rFonts w:ascii="Times New Roman" w:hAnsi="Times New Roman" w:eastAsia="宋体" w:cs="Times New Roman"/>
                <w:szCs w:val="18"/>
              </w:rPr>
              <w:t>W5</w:t>
            </w:r>
          </w:p>
        </w:tc>
        <w:tc>
          <w:tcPr>
            <w:tcW w:w="539" w:type="pct"/>
            <w:vAlign w:val="center"/>
          </w:tcPr>
          <w:p w14:paraId="42A8AFA4">
            <w:pPr>
              <w:spacing w:line="360" w:lineRule="auto"/>
              <w:rPr>
                <w:rFonts w:ascii="Times New Roman" w:hAnsi="Times New Roman" w:eastAsia="宋体" w:cs="Times New Roman"/>
                <w:szCs w:val="18"/>
              </w:rPr>
            </w:pPr>
            <w:r>
              <w:rPr>
                <w:rFonts w:ascii="Times New Roman" w:hAnsi="Times New Roman" w:eastAsia="宋体" w:cs="Times New Roman"/>
                <w:szCs w:val="18"/>
              </w:rPr>
              <w:t>-12.3</w:t>
            </w:r>
          </w:p>
        </w:tc>
        <w:tc>
          <w:tcPr>
            <w:tcW w:w="438" w:type="pct"/>
            <w:vAlign w:val="center"/>
          </w:tcPr>
          <w:p w14:paraId="69C3B91A">
            <w:pPr>
              <w:spacing w:line="360" w:lineRule="auto"/>
              <w:rPr>
                <w:rFonts w:ascii="Times New Roman" w:hAnsi="Times New Roman" w:eastAsia="宋体" w:cs="Times New Roman"/>
                <w:szCs w:val="18"/>
              </w:rPr>
            </w:pPr>
            <w:r>
              <w:rPr>
                <w:rFonts w:ascii="Times New Roman" w:hAnsi="Times New Roman" w:eastAsia="宋体" w:cs="Times New Roman"/>
                <w:szCs w:val="18"/>
              </w:rPr>
              <w:t>4.56</w:t>
            </w:r>
          </w:p>
        </w:tc>
        <w:tc>
          <w:tcPr>
            <w:tcW w:w="472" w:type="pct"/>
            <w:vAlign w:val="center"/>
          </w:tcPr>
          <w:p w14:paraId="6B5B95CB">
            <w:pPr>
              <w:spacing w:line="360" w:lineRule="auto"/>
              <w:rPr>
                <w:rFonts w:ascii="Times New Roman" w:hAnsi="Times New Roman" w:eastAsia="宋体" w:cs="Times New Roman"/>
                <w:szCs w:val="18"/>
              </w:rPr>
            </w:pPr>
            <w:r>
              <w:rPr>
                <w:rFonts w:ascii="Times New Roman" w:hAnsi="Times New Roman" w:eastAsia="宋体" w:cs="Times New Roman"/>
                <w:szCs w:val="18"/>
              </w:rPr>
              <w:t>-1.42</w:t>
            </w:r>
          </w:p>
        </w:tc>
        <w:tc>
          <w:tcPr>
            <w:tcW w:w="482" w:type="pct"/>
            <w:vAlign w:val="center"/>
          </w:tcPr>
          <w:p w14:paraId="0DC72D86">
            <w:pPr>
              <w:spacing w:line="360" w:lineRule="auto"/>
              <w:rPr>
                <w:rFonts w:ascii="Times New Roman" w:hAnsi="Times New Roman" w:eastAsia="宋体" w:cs="Times New Roman"/>
                <w:szCs w:val="18"/>
              </w:rPr>
            </w:pPr>
            <w:r>
              <w:rPr>
                <w:rFonts w:ascii="Times New Roman" w:hAnsi="Times New Roman" w:eastAsia="宋体" w:cs="Times New Roman"/>
                <w:szCs w:val="18"/>
              </w:rPr>
              <w:t>0.69</w:t>
            </w:r>
          </w:p>
        </w:tc>
        <w:tc>
          <w:tcPr>
            <w:tcW w:w="438" w:type="pct"/>
            <w:vAlign w:val="center"/>
          </w:tcPr>
          <w:p w14:paraId="58E9D917">
            <w:pPr>
              <w:spacing w:line="360" w:lineRule="auto"/>
              <w:rPr>
                <w:rFonts w:ascii="Times New Roman" w:hAnsi="Times New Roman" w:eastAsia="宋体" w:cs="Times New Roman"/>
                <w:szCs w:val="18"/>
              </w:rPr>
            </w:pPr>
            <w:r>
              <w:rPr>
                <w:rFonts w:ascii="Times New Roman" w:hAnsi="Times New Roman" w:eastAsia="宋体" w:cs="Times New Roman"/>
                <w:szCs w:val="18"/>
              </w:rPr>
              <w:t>0.98</w:t>
            </w:r>
          </w:p>
        </w:tc>
        <w:tc>
          <w:tcPr>
            <w:tcW w:w="383" w:type="pct"/>
            <w:vAlign w:val="center"/>
          </w:tcPr>
          <w:p w14:paraId="07AD124D">
            <w:pPr>
              <w:spacing w:line="360" w:lineRule="auto"/>
              <w:rPr>
                <w:rFonts w:ascii="Times New Roman" w:hAnsi="Times New Roman" w:eastAsia="宋体" w:cs="Times New Roman"/>
                <w:szCs w:val="18"/>
              </w:rPr>
            </w:pPr>
            <w:r>
              <w:rPr>
                <w:rFonts w:ascii="Times New Roman" w:hAnsi="Times New Roman" w:eastAsia="宋体" w:cs="Times New Roman"/>
                <w:szCs w:val="18"/>
              </w:rPr>
              <w:t>5.00</w:t>
            </w:r>
          </w:p>
        </w:tc>
        <w:tc>
          <w:tcPr>
            <w:tcW w:w="521" w:type="pct"/>
            <w:vAlign w:val="center"/>
          </w:tcPr>
          <w:p w14:paraId="2414044F">
            <w:pPr>
              <w:spacing w:line="360" w:lineRule="auto"/>
              <w:rPr>
                <w:rFonts w:ascii="Times New Roman" w:hAnsi="Times New Roman" w:eastAsia="宋体" w:cs="Times New Roman"/>
                <w:szCs w:val="18"/>
              </w:rPr>
            </w:pPr>
            <w:r>
              <w:rPr>
                <w:rFonts w:ascii="Times New Roman" w:hAnsi="Times New Roman" w:eastAsia="宋体" w:cs="Times New Roman"/>
                <w:szCs w:val="18"/>
              </w:rPr>
              <w:t>-0.40</w:t>
            </w:r>
          </w:p>
        </w:tc>
        <w:tc>
          <w:tcPr>
            <w:tcW w:w="529" w:type="pct"/>
            <w:vAlign w:val="center"/>
          </w:tcPr>
          <w:p w14:paraId="4741164B">
            <w:pPr>
              <w:spacing w:line="360" w:lineRule="auto"/>
              <w:rPr>
                <w:rFonts w:ascii="Times New Roman" w:hAnsi="Times New Roman" w:eastAsia="宋体" w:cs="Times New Roman"/>
                <w:szCs w:val="18"/>
              </w:rPr>
            </w:pPr>
            <w:r>
              <w:rPr>
                <w:rFonts w:ascii="Times New Roman" w:hAnsi="Times New Roman" w:eastAsia="宋体" w:cs="Times New Roman"/>
                <w:szCs w:val="18"/>
              </w:rPr>
              <w:t>1.50</w:t>
            </w:r>
          </w:p>
        </w:tc>
        <w:tc>
          <w:tcPr>
            <w:tcW w:w="423" w:type="pct"/>
            <w:vAlign w:val="center"/>
          </w:tcPr>
          <w:p w14:paraId="2452307B">
            <w:pPr>
              <w:spacing w:line="360" w:lineRule="auto"/>
              <w:rPr>
                <w:rFonts w:ascii="Times New Roman" w:hAnsi="Times New Roman" w:eastAsia="宋体" w:cs="Times New Roman"/>
                <w:szCs w:val="18"/>
              </w:rPr>
            </w:pPr>
            <w:r>
              <w:rPr>
                <w:rFonts w:ascii="Times New Roman" w:hAnsi="Times New Roman" w:eastAsia="宋体" w:cs="Times New Roman"/>
                <w:szCs w:val="18"/>
              </w:rPr>
              <w:t>2.94</w:t>
            </w:r>
          </w:p>
        </w:tc>
      </w:tr>
      <w:tr w14:paraId="501AFCD3">
        <w:tblPrEx>
          <w:tblCellMar>
            <w:top w:w="0" w:type="dxa"/>
            <w:left w:w="108" w:type="dxa"/>
            <w:bottom w:w="0" w:type="dxa"/>
            <w:right w:w="108" w:type="dxa"/>
          </w:tblCellMar>
        </w:tblPrEx>
        <w:trPr>
          <w:jc w:val="center"/>
        </w:trPr>
        <w:tc>
          <w:tcPr>
            <w:tcW w:w="391" w:type="pct"/>
          </w:tcPr>
          <w:p w14:paraId="44B3C97C">
            <w:pPr>
              <w:spacing w:line="360" w:lineRule="auto"/>
              <w:rPr>
                <w:rFonts w:ascii="Times New Roman" w:hAnsi="Times New Roman" w:eastAsia="宋体" w:cs="Times New Roman"/>
                <w:szCs w:val="18"/>
              </w:rPr>
            </w:pPr>
            <w:r>
              <w:rPr>
                <w:rFonts w:ascii="Times New Roman" w:hAnsi="Times New Roman" w:eastAsia="宋体" w:cs="Times New Roman"/>
                <w:szCs w:val="18"/>
              </w:rPr>
              <w:t>6</w:t>
            </w:r>
          </w:p>
        </w:tc>
        <w:tc>
          <w:tcPr>
            <w:tcW w:w="380" w:type="pct"/>
          </w:tcPr>
          <w:p w14:paraId="17006A26">
            <w:pPr>
              <w:spacing w:line="360" w:lineRule="auto"/>
              <w:rPr>
                <w:rFonts w:ascii="Times New Roman" w:hAnsi="Times New Roman" w:eastAsia="宋体" w:cs="Times New Roman"/>
                <w:szCs w:val="18"/>
              </w:rPr>
            </w:pPr>
            <w:r>
              <w:rPr>
                <w:rFonts w:ascii="Times New Roman" w:hAnsi="Times New Roman" w:eastAsia="宋体" w:cs="Times New Roman"/>
                <w:szCs w:val="18"/>
              </w:rPr>
              <w:t>W6</w:t>
            </w:r>
          </w:p>
        </w:tc>
        <w:tc>
          <w:tcPr>
            <w:tcW w:w="539" w:type="pct"/>
            <w:vAlign w:val="center"/>
          </w:tcPr>
          <w:p w14:paraId="263364AE">
            <w:pPr>
              <w:spacing w:line="360" w:lineRule="auto"/>
              <w:rPr>
                <w:rFonts w:ascii="Times New Roman" w:hAnsi="Times New Roman" w:eastAsia="宋体" w:cs="Times New Roman"/>
                <w:szCs w:val="18"/>
              </w:rPr>
            </w:pPr>
            <w:r>
              <w:rPr>
                <w:rFonts w:ascii="Times New Roman" w:hAnsi="Times New Roman" w:eastAsia="宋体" w:cs="Times New Roman"/>
                <w:szCs w:val="18"/>
              </w:rPr>
              <w:t>-13.07</w:t>
            </w:r>
          </w:p>
        </w:tc>
        <w:tc>
          <w:tcPr>
            <w:tcW w:w="438" w:type="pct"/>
            <w:vAlign w:val="center"/>
          </w:tcPr>
          <w:p w14:paraId="52A463D9">
            <w:pPr>
              <w:spacing w:line="360" w:lineRule="auto"/>
              <w:rPr>
                <w:rFonts w:ascii="Times New Roman" w:hAnsi="Times New Roman" w:eastAsia="宋体" w:cs="Times New Roman"/>
                <w:szCs w:val="18"/>
              </w:rPr>
            </w:pPr>
            <w:r>
              <w:rPr>
                <w:rFonts w:ascii="Times New Roman" w:hAnsi="Times New Roman" w:eastAsia="宋体" w:cs="Times New Roman"/>
                <w:szCs w:val="18"/>
              </w:rPr>
              <w:t>5.08</w:t>
            </w:r>
          </w:p>
        </w:tc>
        <w:tc>
          <w:tcPr>
            <w:tcW w:w="472" w:type="pct"/>
            <w:vAlign w:val="center"/>
          </w:tcPr>
          <w:p w14:paraId="7D82EC07">
            <w:pPr>
              <w:spacing w:line="360" w:lineRule="auto"/>
              <w:rPr>
                <w:rFonts w:ascii="Times New Roman" w:hAnsi="Times New Roman" w:eastAsia="宋体" w:cs="Times New Roman"/>
                <w:szCs w:val="18"/>
              </w:rPr>
            </w:pPr>
            <w:r>
              <w:rPr>
                <w:rFonts w:ascii="Times New Roman" w:hAnsi="Times New Roman" w:eastAsia="宋体" w:cs="Times New Roman"/>
                <w:szCs w:val="18"/>
              </w:rPr>
              <w:t>-1.18</w:t>
            </w:r>
          </w:p>
        </w:tc>
        <w:tc>
          <w:tcPr>
            <w:tcW w:w="482" w:type="pct"/>
            <w:vAlign w:val="center"/>
          </w:tcPr>
          <w:p w14:paraId="55EB1649">
            <w:pPr>
              <w:spacing w:line="360" w:lineRule="auto"/>
              <w:rPr>
                <w:rFonts w:ascii="Times New Roman" w:hAnsi="Times New Roman" w:eastAsia="宋体" w:cs="Times New Roman"/>
                <w:szCs w:val="18"/>
              </w:rPr>
            </w:pPr>
            <w:r>
              <w:rPr>
                <w:rFonts w:ascii="Times New Roman" w:hAnsi="Times New Roman" w:eastAsia="宋体" w:cs="Times New Roman"/>
                <w:szCs w:val="18"/>
              </w:rPr>
              <w:t>0.89</w:t>
            </w:r>
          </w:p>
        </w:tc>
        <w:tc>
          <w:tcPr>
            <w:tcW w:w="438" w:type="pct"/>
            <w:vAlign w:val="center"/>
          </w:tcPr>
          <w:p w14:paraId="1F7476D4">
            <w:pPr>
              <w:spacing w:line="360" w:lineRule="auto"/>
              <w:rPr>
                <w:rFonts w:ascii="Times New Roman" w:hAnsi="Times New Roman" w:eastAsia="宋体" w:cs="Times New Roman"/>
                <w:szCs w:val="18"/>
              </w:rPr>
            </w:pPr>
            <w:r>
              <w:rPr>
                <w:rFonts w:ascii="Times New Roman" w:hAnsi="Times New Roman" w:eastAsia="宋体" w:cs="Times New Roman"/>
                <w:szCs w:val="18"/>
              </w:rPr>
              <w:t>1.13</w:t>
            </w:r>
          </w:p>
        </w:tc>
        <w:tc>
          <w:tcPr>
            <w:tcW w:w="383" w:type="pct"/>
            <w:vAlign w:val="center"/>
          </w:tcPr>
          <w:p w14:paraId="39F1B25C">
            <w:pPr>
              <w:spacing w:line="360" w:lineRule="auto"/>
              <w:rPr>
                <w:rFonts w:ascii="Times New Roman" w:hAnsi="Times New Roman" w:eastAsia="宋体" w:cs="Times New Roman"/>
                <w:szCs w:val="18"/>
              </w:rPr>
            </w:pPr>
            <w:r>
              <w:rPr>
                <w:rFonts w:ascii="Times New Roman" w:hAnsi="Times New Roman" w:eastAsia="宋体" w:cs="Times New Roman"/>
                <w:szCs w:val="18"/>
              </w:rPr>
              <w:t>5.36</w:t>
            </w:r>
          </w:p>
        </w:tc>
        <w:tc>
          <w:tcPr>
            <w:tcW w:w="521" w:type="pct"/>
            <w:vAlign w:val="center"/>
          </w:tcPr>
          <w:p w14:paraId="31148B8F">
            <w:pPr>
              <w:spacing w:line="360" w:lineRule="auto"/>
              <w:rPr>
                <w:rFonts w:ascii="Times New Roman" w:hAnsi="Times New Roman" w:eastAsia="宋体" w:cs="Times New Roman"/>
                <w:szCs w:val="18"/>
              </w:rPr>
            </w:pPr>
            <w:r>
              <w:rPr>
                <w:rFonts w:ascii="Times New Roman" w:hAnsi="Times New Roman" w:eastAsia="宋体" w:cs="Times New Roman"/>
                <w:szCs w:val="18"/>
              </w:rPr>
              <w:t>-0.42</w:t>
            </w:r>
          </w:p>
        </w:tc>
        <w:tc>
          <w:tcPr>
            <w:tcW w:w="529" w:type="pct"/>
            <w:vAlign w:val="center"/>
          </w:tcPr>
          <w:p w14:paraId="76226013">
            <w:pPr>
              <w:spacing w:line="360" w:lineRule="auto"/>
              <w:rPr>
                <w:rFonts w:ascii="Times New Roman" w:hAnsi="Times New Roman" w:eastAsia="宋体" w:cs="Times New Roman"/>
                <w:szCs w:val="18"/>
              </w:rPr>
            </w:pPr>
            <w:r>
              <w:rPr>
                <w:rFonts w:ascii="Times New Roman" w:hAnsi="Times New Roman" w:eastAsia="宋体" w:cs="Times New Roman"/>
                <w:szCs w:val="18"/>
              </w:rPr>
              <w:t>3.06</w:t>
            </w:r>
          </w:p>
        </w:tc>
        <w:tc>
          <w:tcPr>
            <w:tcW w:w="423" w:type="pct"/>
            <w:vAlign w:val="center"/>
          </w:tcPr>
          <w:p w14:paraId="70637F3A">
            <w:pPr>
              <w:spacing w:line="360" w:lineRule="auto"/>
              <w:rPr>
                <w:rFonts w:ascii="Times New Roman" w:hAnsi="Times New Roman" w:eastAsia="宋体" w:cs="Times New Roman"/>
                <w:szCs w:val="18"/>
              </w:rPr>
            </w:pPr>
            <w:r>
              <w:rPr>
                <w:rFonts w:ascii="Times New Roman" w:hAnsi="Times New Roman" w:eastAsia="宋体" w:cs="Times New Roman"/>
                <w:szCs w:val="18"/>
              </w:rPr>
              <w:t>2.98</w:t>
            </w:r>
          </w:p>
        </w:tc>
      </w:tr>
      <w:tr w14:paraId="51053FA9">
        <w:tblPrEx>
          <w:tblCellMar>
            <w:top w:w="0" w:type="dxa"/>
            <w:left w:w="108" w:type="dxa"/>
            <w:bottom w:w="0" w:type="dxa"/>
            <w:right w:w="108" w:type="dxa"/>
          </w:tblCellMar>
        </w:tblPrEx>
        <w:trPr>
          <w:jc w:val="center"/>
        </w:trPr>
        <w:tc>
          <w:tcPr>
            <w:tcW w:w="391" w:type="pct"/>
          </w:tcPr>
          <w:p w14:paraId="0995C01E">
            <w:pPr>
              <w:spacing w:line="360" w:lineRule="auto"/>
              <w:rPr>
                <w:rFonts w:ascii="Times New Roman" w:hAnsi="Times New Roman" w:eastAsia="宋体" w:cs="Times New Roman"/>
                <w:szCs w:val="18"/>
              </w:rPr>
            </w:pPr>
            <w:r>
              <w:rPr>
                <w:rFonts w:ascii="Times New Roman" w:hAnsi="Times New Roman" w:eastAsia="宋体" w:cs="Times New Roman"/>
                <w:szCs w:val="18"/>
              </w:rPr>
              <w:t>7</w:t>
            </w:r>
          </w:p>
        </w:tc>
        <w:tc>
          <w:tcPr>
            <w:tcW w:w="380" w:type="pct"/>
          </w:tcPr>
          <w:p w14:paraId="71011FC1">
            <w:pPr>
              <w:spacing w:line="360" w:lineRule="auto"/>
              <w:rPr>
                <w:rFonts w:ascii="Times New Roman" w:hAnsi="Times New Roman" w:eastAsia="宋体" w:cs="Times New Roman"/>
                <w:szCs w:val="18"/>
              </w:rPr>
            </w:pPr>
            <w:r>
              <w:rPr>
                <w:rFonts w:ascii="Times New Roman" w:hAnsi="Times New Roman" w:eastAsia="宋体" w:cs="Times New Roman"/>
                <w:szCs w:val="18"/>
              </w:rPr>
              <w:t>W7</w:t>
            </w:r>
          </w:p>
        </w:tc>
        <w:tc>
          <w:tcPr>
            <w:tcW w:w="539" w:type="pct"/>
            <w:vAlign w:val="center"/>
          </w:tcPr>
          <w:p w14:paraId="0F000395">
            <w:pPr>
              <w:spacing w:line="360" w:lineRule="auto"/>
              <w:rPr>
                <w:rFonts w:ascii="Times New Roman" w:hAnsi="Times New Roman" w:eastAsia="宋体" w:cs="Times New Roman"/>
                <w:szCs w:val="18"/>
              </w:rPr>
            </w:pPr>
            <w:r>
              <w:rPr>
                <w:rFonts w:ascii="Times New Roman" w:hAnsi="Times New Roman" w:eastAsia="宋体" w:cs="Times New Roman"/>
                <w:szCs w:val="18"/>
              </w:rPr>
              <w:t>-12.67</w:t>
            </w:r>
          </w:p>
        </w:tc>
        <w:tc>
          <w:tcPr>
            <w:tcW w:w="438" w:type="pct"/>
            <w:vAlign w:val="center"/>
          </w:tcPr>
          <w:p w14:paraId="0063B4F7">
            <w:pPr>
              <w:spacing w:line="360" w:lineRule="auto"/>
              <w:rPr>
                <w:rFonts w:ascii="Times New Roman" w:hAnsi="Times New Roman" w:eastAsia="宋体" w:cs="Times New Roman"/>
                <w:szCs w:val="18"/>
              </w:rPr>
            </w:pPr>
            <w:r>
              <w:rPr>
                <w:rFonts w:ascii="Times New Roman" w:hAnsi="Times New Roman" w:eastAsia="宋体" w:cs="Times New Roman"/>
                <w:szCs w:val="18"/>
              </w:rPr>
              <w:t>4.25</w:t>
            </w:r>
          </w:p>
        </w:tc>
        <w:tc>
          <w:tcPr>
            <w:tcW w:w="472" w:type="pct"/>
            <w:vAlign w:val="center"/>
          </w:tcPr>
          <w:p w14:paraId="51A3DE99">
            <w:pPr>
              <w:spacing w:line="360" w:lineRule="auto"/>
              <w:rPr>
                <w:rFonts w:ascii="Times New Roman" w:hAnsi="Times New Roman" w:eastAsia="宋体" w:cs="Times New Roman"/>
                <w:szCs w:val="18"/>
              </w:rPr>
            </w:pPr>
            <w:r>
              <w:rPr>
                <w:rFonts w:ascii="Times New Roman" w:hAnsi="Times New Roman" w:eastAsia="宋体" w:cs="Times New Roman"/>
                <w:szCs w:val="18"/>
              </w:rPr>
              <w:t>-1.25</w:t>
            </w:r>
          </w:p>
        </w:tc>
        <w:tc>
          <w:tcPr>
            <w:tcW w:w="482" w:type="pct"/>
            <w:vAlign w:val="center"/>
          </w:tcPr>
          <w:p w14:paraId="51F2F679">
            <w:pPr>
              <w:spacing w:line="360" w:lineRule="auto"/>
              <w:rPr>
                <w:rFonts w:ascii="Times New Roman" w:hAnsi="Times New Roman" w:eastAsia="宋体" w:cs="Times New Roman"/>
                <w:szCs w:val="18"/>
              </w:rPr>
            </w:pPr>
            <w:r>
              <w:rPr>
                <w:rFonts w:ascii="Times New Roman" w:hAnsi="Times New Roman" w:eastAsia="宋体" w:cs="Times New Roman"/>
                <w:szCs w:val="18"/>
              </w:rPr>
              <w:t>0.36</w:t>
            </w:r>
          </w:p>
        </w:tc>
        <w:tc>
          <w:tcPr>
            <w:tcW w:w="438" w:type="pct"/>
            <w:vAlign w:val="center"/>
          </w:tcPr>
          <w:p w14:paraId="405075B7">
            <w:pPr>
              <w:spacing w:line="360" w:lineRule="auto"/>
              <w:rPr>
                <w:rFonts w:ascii="Times New Roman" w:hAnsi="Times New Roman" w:eastAsia="宋体" w:cs="Times New Roman"/>
                <w:szCs w:val="18"/>
              </w:rPr>
            </w:pPr>
            <w:r>
              <w:rPr>
                <w:rFonts w:ascii="Times New Roman" w:hAnsi="Times New Roman" w:eastAsia="宋体" w:cs="Times New Roman"/>
                <w:szCs w:val="18"/>
              </w:rPr>
              <w:t>1.06</w:t>
            </w:r>
          </w:p>
        </w:tc>
        <w:tc>
          <w:tcPr>
            <w:tcW w:w="383" w:type="pct"/>
            <w:vAlign w:val="center"/>
          </w:tcPr>
          <w:p w14:paraId="45B9E952">
            <w:pPr>
              <w:spacing w:line="360" w:lineRule="auto"/>
              <w:rPr>
                <w:rFonts w:ascii="Times New Roman" w:hAnsi="Times New Roman" w:eastAsia="宋体" w:cs="Times New Roman"/>
                <w:szCs w:val="18"/>
              </w:rPr>
            </w:pPr>
            <w:r>
              <w:rPr>
                <w:rFonts w:ascii="Times New Roman" w:hAnsi="Times New Roman" w:eastAsia="宋体" w:cs="Times New Roman"/>
                <w:szCs w:val="18"/>
              </w:rPr>
              <w:t>5.18</w:t>
            </w:r>
          </w:p>
        </w:tc>
        <w:tc>
          <w:tcPr>
            <w:tcW w:w="521" w:type="pct"/>
            <w:vAlign w:val="center"/>
          </w:tcPr>
          <w:p w14:paraId="2019590B">
            <w:pPr>
              <w:spacing w:line="360" w:lineRule="auto"/>
              <w:rPr>
                <w:rFonts w:ascii="Times New Roman" w:hAnsi="Times New Roman" w:eastAsia="宋体" w:cs="Times New Roman"/>
                <w:szCs w:val="18"/>
              </w:rPr>
            </w:pPr>
            <w:r>
              <w:rPr>
                <w:rFonts w:ascii="Times New Roman" w:hAnsi="Times New Roman" w:eastAsia="宋体" w:cs="Times New Roman"/>
                <w:szCs w:val="18"/>
              </w:rPr>
              <w:t>-0.38</w:t>
            </w:r>
          </w:p>
        </w:tc>
        <w:tc>
          <w:tcPr>
            <w:tcW w:w="529" w:type="pct"/>
            <w:vAlign w:val="center"/>
          </w:tcPr>
          <w:p w14:paraId="1C932F94">
            <w:pPr>
              <w:spacing w:line="360" w:lineRule="auto"/>
              <w:rPr>
                <w:rFonts w:ascii="Times New Roman" w:hAnsi="Times New Roman" w:eastAsia="宋体" w:cs="Times New Roman"/>
                <w:szCs w:val="18"/>
              </w:rPr>
            </w:pPr>
            <w:r>
              <w:rPr>
                <w:rFonts w:ascii="Times New Roman" w:hAnsi="Times New Roman" w:eastAsia="宋体" w:cs="Times New Roman"/>
                <w:szCs w:val="18"/>
              </w:rPr>
              <w:t>2.72</w:t>
            </w:r>
          </w:p>
        </w:tc>
        <w:tc>
          <w:tcPr>
            <w:tcW w:w="423" w:type="pct"/>
            <w:vAlign w:val="center"/>
          </w:tcPr>
          <w:p w14:paraId="6979CBD2">
            <w:pPr>
              <w:spacing w:line="360" w:lineRule="auto"/>
              <w:rPr>
                <w:rFonts w:ascii="Times New Roman" w:hAnsi="Times New Roman" w:eastAsia="宋体" w:cs="Times New Roman"/>
                <w:szCs w:val="18"/>
              </w:rPr>
            </w:pPr>
            <w:r>
              <w:rPr>
                <w:rFonts w:ascii="Times New Roman" w:hAnsi="Times New Roman" w:eastAsia="宋体" w:cs="Times New Roman"/>
                <w:szCs w:val="18"/>
              </w:rPr>
              <w:t>3.06</w:t>
            </w:r>
          </w:p>
        </w:tc>
      </w:tr>
      <w:tr w14:paraId="3401C4A0">
        <w:tblPrEx>
          <w:tblCellMar>
            <w:top w:w="0" w:type="dxa"/>
            <w:left w:w="108" w:type="dxa"/>
            <w:bottom w:w="0" w:type="dxa"/>
            <w:right w:w="108" w:type="dxa"/>
          </w:tblCellMar>
        </w:tblPrEx>
        <w:trPr>
          <w:jc w:val="center"/>
        </w:trPr>
        <w:tc>
          <w:tcPr>
            <w:tcW w:w="391" w:type="pct"/>
          </w:tcPr>
          <w:p w14:paraId="0449B7AD">
            <w:pPr>
              <w:spacing w:line="360" w:lineRule="auto"/>
              <w:rPr>
                <w:rFonts w:ascii="Times New Roman" w:hAnsi="Times New Roman" w:eastAsia="宋体" w:cs="Times New Roman"/>
                <w:szCs w:val="18"/>
              </w:rPr>
            </w:pPr>
            <w:r>
              <w:rPr>
                <w:rFonts w:ascii="Times New Roman" w:hAnsi="Times New Roman" w:eastAsia="宋体" w:cs="Times New Roman"/>
                <w:szCs w:val="18"/>
              </w:rPr>
              <w:t>8</w:t>
            </w:r>
          </w:p>
        </w:tc>
        <w:tc>
          <w:tcPr>
            <w:tcW w:w="380" w:type="pct"/>
          </w:tcPr>
          <w:p w14:paraId="5C730165">
            <w:pPr>
              <w:spacing w:line="360" w:lineRule="auto"/>
              <w:rPr>
                <w:rFonts w:ascii="Times New Roman" w:hAnsi="Times New Roman" w:eastAsia="宋体" w:cs="Times New Roman"/>
                <w:szCs w:val="18"/>
              </w:rPr>
            </w:pPr>
            <w:r>
              <w:rPr>
                <w:rFonts w:ascii="Times New Roman" w:hAnsi="Times New Roman" w:eastAsia="宋体" w:cs="Times New Roman"/>
                <w:szCs w:val="18"/>
              </w:rPr>
              <w:t>W8</w:t>
            </w:r>
          </w:p>
        </w:tc>
        <w:tc>
          <w:tcPr>
            <w:tcW w:w="539" w:type="pct"/>
            <w:vAlign w:val="center"/>
          </w:tcPr>
          <w:p w14:paraId="372F6E6A">
            <w:pPr>
              <w:spacing w:line="360" w:lineRule="auto"/>
              <w:rPr>
                <w:rFonts w:ascii="Times New Roman" w:hAnsi="Times New Roman" w:eastAsia="宋体" w:cs="Times New Roman"/>
                <w:szCs w:val="18"/>
              </w:rPr>
            </w:pPr>
            <w:r>
              <w:rPr>
                <w:rFonts w:ascii="Times New Roman" w:hAnsi="Times New Roman" w:eastAsia="宋体" w:cs="Times New Roman"/>
                <w:szCs w:val="18"/>
              </w:rPr>
              <w:t>-15.71</w:t>
            </w:r>
          </w:p>
        </w:tc>
        <w:tc>
          <w:tcPr>
            <w:tcW w:w="438" w:type="pct"/>
            <w:vAlign w:val="center"/>
          </w:tcPr>
          <w:p w14:paraId="5D9F8255">
            <w:pPr>
              <w:spacing w:line="360" w:lineRule="auto"/>
              <w:rPr>
                <w:rFonts w:ascii="Times New Roman" w:hAnsi="Times New Roman" w:eastAsia="宋体" w:cs="Times New Roman"/>
                <w:szCs w:val="18"/>
              </w:rPr>
            </w:pPr>
            <w:r>
              <w:rPr>
                <w:rFonts w:ascii="Times New Roman" w:hAnsi="Times New Roman" w:eastAsia="宋体" w:cs="Times New Roman"/>
                <w:szCs w:val="18"/>
              </w:rPr>
              <w:t>4.49</w:t>
            </w:r>
          </w:p>
        </w:tc>
        <w:tc>
          <w:tcPr>
            <w:tcW w:w="472" w:type="pct"/>
            <w:vAlign w:val="center"/>
          </w:tcPr>
          <w:p w14:paraId="7C08C1D3">
            <w:pPr>
              <w:spacing w:line="360" w:lineRule="auto"/>
              <w:rPr>
                <w:rFonts w:ascii="Times New Roman" w:hAnsi="Times New Roman" w:eastAsia="宋体" w:cs="Times New Roman"/>
                <w:szCs w:val="18"/>
              </w:rPr>
            </w:pPr>
            <w:r>
              <w:rPr>
                <w:rFonts w:ascii="Times New Roman" w:hAnsi="Times New Roman" w:eastAsia="宋体" w:cs="Times New Roman"/>
                <w:szCs w:val="18"/>
              </w:rPr>
              <w:t>-1.50</w:t>
            </w:r>
          </w:p>
        </w:tc>
        <w:tc>
          <w:tcPr>
            <w:tcW w:w="482" w:type="pct"/>
            <w:vAlign w:val="center"/>
          </w:tcPr>
          <w:p w14:paraId="38A3C7FC">
            <w:pPr>
              <w:spacing w:line="360" w:lineRule="auto"/>
              <w:rPr>
                <w:rFonts w:ascii="Times New Roman" w:hAnsi="Times New Roman" w:eastAsia="宋体" w:cs="Times New Roman"/>
                <w:szCs w:val="18"/>
              </w:rPr>
            </w:pPr>
            <w:r>
              <w:rPr>
                <w:rFonts w:ascii="Times New Roman" w:hAnsi="Times New Roman" w:eastAsia="宋体" w:cs="Times New Roman"/>
                <w:szCs w:val="18"/>
              </w:rPr>
              <w:t>0.68</w:t>
            </w:r>
          </w:p>
        </w:tc>
        <w:tc>
          <w:tcPr>
            <w:tcW w:w="438" w:type="pct"/>
            <w:vAlign w:val="center"/>
          </w:tcPr>
          <w:p w14:paraId="5C41DF1B">
            <w:pPr>
              <w:spacing w:line="360" w:lineRule="auto"/>
              <w:rPr>
                <w:rFonts w:ascii="Times New Roman" w:hAnsi="Times New Roman" w:eastAsia="宋体" w:cs="Times New Roman"/>
                <w:szCs w:val="18"/>
              </w:rPr>
            </w:pPr>
            <w:r>
              <w:rPr>
                <w:rFonts w:ascii="Times New Roman" w:hAnsi="Times New Roman" w:eastAsia="宋体" w:cs="Times New Roman"/>
                <w:szCs w:val="18"/>
              </w:rPr>
              <w:t>1.07</w:t>
            </w:r>
          </w:p>
        </w:tc>
        <w:tc>
          <w:tcPr>
            <w:tcW w:w="383" w:type="pct"/>
            <w:vAlign w:val="center"/>
          </w:tcPr>
          <w:p w14:paraId="3AC81446">
            <w:pPr>
              <w:spacing w:line="360" w:lineRule="auto"/>
              <w:rPr>
                <w:rFonts w:ascii="Times New Roman" w:hAnsi="Times New Roman" w:eastAsia="宋体" w:cs="Times New Roman"/>
                <w:szCs w:val="18"/>
              </w:rPr>
            </w:pPr>
            <w:r>
              <w:rPr>
                <w:rFonts w:ascii="Times New Roman" w:hAnsi="Times New Roman" w:eastAsia="宋体" w:cs="Times New Roman"/>
                <w:szCs w:val="18"/>
              </w:rPr>
              <w:t>6.40</w:t>
            </w:r>
          </w:p>
        </w:tc>
        <w:tc>
          <w:tcPr>
            <w:tcW w:w="521" w:type="pct"/>
            <w:vAlign w:val="center"/>
          </w:tcPr>
          <w:p w14:paraId="225FF175">
            <w:pPr>
              <w:spacing w:line="360" w:lineRule="auto"/>
              <w:rPr>
                <w:rFonts w:ascii="Times New Roman" w:hAnsi="Times New Roman" w:eastAsia="宋体" w:cs="Times New Roman"/>
                <w:szCs w:val="18"/>
              </w:rPr>
            </w:pPr>
            <w:r>
              <w:rPr>
                <w:rFonts w:ascii="Times New Roman" w:hAnsi="Times New Roman" w:eastAsia="宋体" w:cs="Times New Roman"/>
                <w:szCs w:val="18"/>
              </w:rPr>
              <w:t>-0.55</w:t>
            </w:r>
          </w:p>
        </w:tc>
        <w:tc>
          <w:tcPr>
            <w:tcW w:w="529" w:type="pct"/>
            <w:vAlign w:val="center"/>
          </w:tcPr>
          <w:p w14:paraId="0B850C0C">
            <w:pPr>
              <w:spacing w:line="360" w:lineRule="auto"/>
              <w:rPr>
                <w:rFonts w:ascii="Times New Roman" w:hAnsi="Times New Roman" w:eastAsia="宋体" w:cs="Times New Roman"/>
                <w:szCs w:val="18"/>
              </w:rPr>
            </w:pPr>
            <w:r>
              <w:rPr>
                <w:rFonts w:ascii="Times New Roman" w:hAnsi="Times New Roman" w:eastAsia="宋体" w:cs="Times New Roman"/>
                <w:szCs w:val="18"/>
              </w:rPr>
              <w:t>3.16</w:t>
            </w:r>
          </w:p>
        </w:tc>
        <w:tc>
          <w:tcPr>
            <w:tcW w:w="423" w:type="pct"/>
            <w:vAlign w:val="center"/>
          </w:tcPr>
          <w:p w14:paraId="38125FBE">
            <w:pPr>
              <w:spacing w:line="360" w:lineRule="auto"/>
              <w:rPr>
                <w:rFonts w:ascii="Times New Roman" w:hAnsi="Times New Roman" w:eastAsia="宋体" w:cs="Times New Roman"/>
                <w:szCs w:val="18"/>
              </w:rPr>
            </w:pPr>
            <w:r>
              <w:rPr>
                <w:rFonts w:ascii="Times New Roman" w:hAnsi="Times New Roman" w:eastAsia="宋体" w:cs="Times New Roman"/>
                <w:szCs w:val="18"/>
              </w:rPr>
              <w:t>3.16</w:t>
            </w:r>
          </w:p>
        </w:tc>
      </w:tr>
      <w:tr w14:paraId="1CCD0DAF">
        <w:tblPrEx>
          <w:tblCellMar>
            <w:top w:w="0" w:type="dxa"/>
            <w:left w:w="108" w:type="dxa"/>
            <w:bottom w:w="0" w:type="dxa"/>
            <w:right w:w="108" w:type="dxa"/>
          </w:tblCellMar>
        </w:tblPrEx>
        <w:trPr>
          <w:jc w:val="center"/>
        </w:trPr>
        <w:tc>
          <w:tcPr>
            <w:tcW w:w="391" w:type="pct"/>
          </w:tcPr>
          <w:p w14:paraId="6C46596B">
            <w:pPr>
              <w:spacing w:line="360" w:lineRule="auto"/>
              <w:rPr>
                <w:rFonts w:ascii="Times New Roman" w:hAnsi="Times New Roman" w:eastAsia="宋体" w:cs="Times New Roman"/>
                <w:szCs w:val="18"/>
              </w:rPr>
            </w:pPr>
            <w:r>
              <w:rPr>
                <w:rFonts w:ascii="Times New Roman" w:hAnsi="Times New Roman" w:eastAsia="宋体" w:cs="Times New Roman"/>
                <w:szCs w:val="18"/>
              </w:rPr>
              <w:t>9</w:t>
            </w:r>
          </w:p>
        </w:tc>
        <w:tc>
          <w:tcPr>
            <w:tcW w:w="380" w:type="pct"/>
          </w:tcPr>
          <w:p w14:paraId="53A57A6B">
            <w:pPr>
              <w:spacing w:line="360" w:lineRule="auto"/>
              <w:rPr>
                <w:rFonts w:ascii="Times New Roman" w:hAnsi="Times New Roman" w:eastAsia="宋体" w:cs="Times New Roman"/>
                <w:szCs w:val="18"/>
              </w:rPr>
            </w:pPr>
            <w:r>
              <w:rPr>
                <w:rFonts w:ascii="Times New Roman" w:hAnsi="Times New Roman" w:eastAsia="宋体" w:cs="Times New Roman"/>
                <w:szCs w:val="18"/>
              </w:rPr>
              <w:t>W9</w:t>
            </w:r>
          </w:p>
        </w:tc>
        <w:tc>
          <w:tcPr>
            <w:tcW w:w="539" w:type="pct"/>
            <w:vAlign w:val="center"/>
          </w:tcPr>
          <w:p w14:paraId="175C83E0">
            <w:pPr>
              <w:spacing w:line="360" w:lineRule="auto"/>
              <w:rPr>
                <w:rFonts w:ascii="Times New Roman" w:hAnsi="Times New Roman" w:eastAsia="宋体" w:cs="Times New Roman"/>
                <w:szCs w:val="18"/>
              </w:rPr>
            </w:pPr>
            <w:r>
              <w:rPr>
                <w:rFonts w:ascii="Times New Roman" w:hAnsi="Times New Roman" w:eastAsia="宋体" w:cs="Times New Roman"/>
                <w:szCs w:val="18"/>
              </w:rPr>
              <w:t>-14.75</w:t>
            </w:r>
          </w:p>
        </w:tc>
        <w:tc>
          <w:tcPr>
            <w:tcW w:w="438" w:type="pct"/>
            <w:vAlign w:val="center"/>
          </w:tcPr>
          <w:p w14:paraId="4C5FC416">
            <w:pPr>
              <w:spacing w:line="360" w:lineRule="auto"/>
              <w:rPr>
                <w:rFonts w:ascii="Times New Roman" w:hAnsi="Times New Roman" w:eastAsia="宋体" w:cs="Times New Roman"/>
                <w:szCs w:val="18"/>
              </w:rPr>
            </w:pPr>
            <w:r>
              <w:rPr>
                <w:rFonts w:ascii="Times New Roman" w:hAnsi="Times New Roman" w:eastAsia="宋体" w:cs="Times New Roman"/>
                <w:szCs w:val="18"/>
              </w:rPr>
              <w:t>4.26</w:t>
            </w:r>
          </w:p>
        </w:tc>
        <w:tc>
          <w:tcPr>
            <w:tcW w:w="472" w:type="pct"/>
            <w:vAlign w:val="center"/>
          </w:tcPr>
          <w:p w14:paraId="6CBB58C0">
            <w:pPr>
              <w:spacing w:line="360" w:lineRule="auto"/>
              <w:rPr>
                <w:rFonts w:ascii="Times New Roman" w:hAnsi="Times New Roman" w:eastAsia="宋体" w:cs="Times New Roman"/>
                <w:szCs w:val="18"/>
              </w:rPr>
            </w:pPr>
            <w:r>
              <w:rPr>
                <w:rFonts w:ascii="Times New Roman" w:hAnsi="Times New Roman" w:eastAsia="宋体" w:cs="Times New Roman"/>
                <w:szCs w:val="18"/>
              </w:rPr>
              <w:t>-1.68</w:t>
            </w:r>
          </w:p>
        </w:tc>
        <w:tc>
          <w:tcPr>
            <w:tcW w:w="482" w:type="pct"/>
            <w:vAlign w:val="center"/>
          </w:tcPr>
          <w:p w14:paraId="7C4BBF6C">
            <w:pPr>
              <w:spacing w:line="360" w:lineRule="auto"/>
              <w:rPr>
                <w:rFonts w:ascii="Times New Roman" w:hAnsi="Times New Roman" w:eastAsia="宋体" w:cs="Times New Roman"/>
                <w:szCs w:val="18"/>
              </w:rPr>
            </w:pPr>
            <w:r>
              <w:rPr>
                <w:rFonts w:ascii="Times New Roman" w:hAnsi="Times New Roman" w:eastAsia="宋体" w:cs="Times New Roman"/>
                <w:szCs w:val="18"/>
              </w:rPr>
              <w:t>0.37</w:t>
            </w:r>
          </w:p>
        </w:tc>
        <w:tc>
          <w:tcPr>
            <w:tcW w:w="438" w:type="pct"/>
            <w:vAlign w:val="center"/>
          </w:tcPr>
          <w:p w14:paraId="1C0F98A8">
            <w:pPr>
              <w:spacing w:line="360" w:lineRule="auto"/>
              <w:rPr>
                <w:rFonts w:ascii="Times New Roman" w:hAnsi="Times New Roman" w:eastAsia="宋体" w:cs="Times New Roman"/>
                <w:szCs w:val="18"/>
              </w:rPr>
            </w:pPr>
            <w:r>
              <w:rPr>
                <w:rFonts w:ascii="Times New Roman" w:hAnsi="Times New Roman" w:eastAsia="宋体" w:cs="Times New Roman"/>
                <w:szCs w:val="18"/>
              </w:rPr>
              <w:t>0.97</w:t>
            </w:r>
          </w:p>
        </w:tc>
        <w:tc>
          <w:tcPr>
            <w:tcW w:w="383" w:type="pct"/>
            <w:vAlign w:val="center"/>
          </w:tcPr>
          <w:p w14:paraId="1BDB6D73">
            <w:pPr>
              <w:spacing w:line="360" w:lineRule="auto"/>
              <w:rPr>
                <w:rFonts w:ascii="Times New Roman" w:hAnsi="Times New Roman" w:eastAsia="宋体" w:cs="Times New Roman"/>
                <w:szCs w:val="18"/>
              </w:rPr>
            </w:pPr>
            <w:r>
              <w:rPr>
                <w:rFonts w:ascii="Times New Roman" w:hAnsi="Times New Roman" w:eastAsia="宋体" w:cs="Times New Roman"/>
                <w:szCs w:val="18"/>
              </w:rPr>
              <w:t>5.96</w:t>
            </w:r>
          </w:p>
        </w:tc>
        <w:tc>
          <w:tcPr>
            <w:tcW w:w="521" w:type="pct"/>
            <w:vAlign w:val="center"/>
          </w:tcPr>
          <w:p w14:paraId="12DBF8BB">
            <w:pPr>
              <w:spacing w:line="360" w:lineRule="auto"/>
              <w:rPr>
                <w:rFonts w:ascii="Times New Roman" w:hAnsi="Times New Roman" w:eastAsia="宋体" w:cs="Times New Roman"/>
                <w:szCs w:val="18"/>
              </w:rPr>
            </w:pPr>
            <w:r>
              <w:rPr>
                <w:rFonts w:ascii="Times New Roman" w:hAnsi="Times New Roman" w:eastAsia="宋体" w:cs="Times New Roman"/>
                <w:szCs w:val="18"/>
              </w:rPr>
              <w:t>-0.46</w:t>
            </w:r>
          </w:p>
        </w:tc>
        <w:tc>
          <w:tcPr>
            <w:tcW w:w="529" w:type="pct"/>
            <w:vAlign w:val="center"/>
          </w:tcPr>
          <w:p w14:paraId="602F3C24">
            <w:pPr>
              <w:spacing w:line="360" w:lineRule="auto"/>
              <w:rPr>
                <w:rFonts w:ascii="Times New Roman" w:hAnsi="Times New Roman" w:eastAsia="宋体" w:cs="Times New Roman"/>
                <w:szCs w:val="18"/>
              </w:rPr>
            </w:pPr>
            <w:r>
              <w:rPr>
                <w:rFonts w:ascii="Times New Roman" w:hAnsi="Times New Roman" w:eastAsia="宋体" w:cs="Times New Roman"/>
                <w:szCs w:val="18"/>
              </w:rPr>
              <w:t>1.70</w:t>
            </w:r>
          </w:p>
        </w:tc>
        <w:tc>
          <w:tcPr>
            <w:tcW w:w="423" w:type="pct"/>
            <w:vAlign w:val="center"/>
          </w:tcPr>
          <w:p w14:paraId="7F8F6255">
            <w:pPr>
              <w:spacing w:line="360" w:lineRule="auto"/>
              <w:rPr>
                <w:rFonts w:ascii="Times New Roman" w:hAnsi="Times New Roman" w:eastAsia="宋体" w:cs="Times New Roman"/>
                <w:szCs w:val="18"/>
              </w:rPr>
            </w:pPr>
            <w:r>
              <w:rPr>
                <w:rFonts w:ascii="Times New Roman" w:hAnsi="Times New Roman" w:eastAsia="宋体" w:cs="Times New Roman"/>
                <w:szCs w:val="18"/>
              </w:rPr>
              <w:t>3.21</w:t>
            </w:r>
          </w:p>
        </w:tc>
      </w:tr>
      <w:tr w14:paraId="54F08BA3">
        <w:tblPrEx>
          <w:tblCellMar>
            <w:top w:w="0" w:type="dxa"/>
            <w:left w:w="108" w:type="dxa"/>
            <w:bottom w:w="0" w:type="dxa"/>
            <w:right w:w="108" w:type="dxa"/>
          </w:tblCellMar>
        </w:tblPrEx>
        <w:trPr>
          <w:jc w:val="center"/>
        </w:trPr>
        <w:tc>
          <w:tcPr>
            <w:tcW w:w="391" w:type="pct"/>
          </w:tcPr>
          <w:p w14:paraId="74D13AD1">
            <w:pPr>
              <w:spacing w:line="360" w:lineRule="auto"/>
              <w:rPr>
                <w:rFonts w:ascii="Times New Roman" w:hAnsi="Times New Roman" w:eastAsia="宋体" w:cs="Times New Roman"/>
                <w:szCs w:val="18"/>
              </w:rPr>
            </w:pPr>
            <w:r>
              <w:rPr>
                <w:rFonts w:ascii="Times New Roman" w:hAnsi="Times New Roman" w:eastAsia="宋体" w:cs="Times New Roman"/>
                <w:szCs w:val="18"/>
              </w:rPr>
              <w:t>10</w:t>
            </w:r>
          </w:p>
        </w:tc>
        <w:tc>
          <w:tcPr>
            <w:tcW w:w="380" w:type="pct"/>
          </w:tcPr>
          <w:p w14:paraId="6507CA52">
            <w:pPr>
              <w:spacing w:line="360" w:lineRule="auto"/>
              <w:rPr>
                <w:rFonts w:ascii="Times New Roman" w:hAnsi="Times New Roman" w:eastAsia="宋体" w:cs="Times New Roman"/>
                <w:szCs w:val="18"/>
              </w:rPr>
            </w:pPr>
            <w:r>
              <w:rPr>
                <w:rFonts w:ascii="Times New Roman" w:hAnsi="Times New Roman" w:eastAsia="宋体" w:cs="Times New Roman"/>
                <w:szCs w:val="18"/>
              </w:rPr>
              <w:t>W10</w:t>
            </w:r>
          </w:p>
        </w:tc>
        <w:tc>
          <w:tcPr>
            <w:tcW w:w="539" w:type="pct"/>
            <w:vAlign w:val="center"/>
          </w:tcPr>
          <w:p w14:paraId="1131B810">
            <w:pPr>
              <w:spacing w:line="360" w:lineRule="auto"/>
              <w:rPr>
                <w:rFonts w:ascii="Times New Roman" w:hAnsi="Times New Roman" w:eastAsia="宋体" w:cs="Times New Roman"/>
                <w:szCs w:val="18"/>
              </w:rPr>
            </w:pPr>
            <w:r>
              <w:rPr>
                <w:rFonts w:ascii="Times New Roman" w:hAnsi="Times New Roman" w:eastAsia="宋体" w:cs="Times New Roman"/>
                <w:szCs w:val="18"/>
              </w:rPr>
              <w:t>-12.92</w:t>
            </w:r>
          </w:p>
        </w:tc>
        <w:tc>
          <w:tcPr>
            <w:tcW w:w="438" w:type="pct"/>
            <w:vAlign w:val="center"/>
          </w:tcPr>
          <w:p w14:paraId="04BFE95C">
            <w:pPr>
              <w:spacing w:line="360" w:lineRule="auto"/>
              <w:rPr>
                <w:rFonts w:ascii="Times New Roman" w:hAnsi="Times New Roman" w:eastAsia="宋体" w:cs="Times New Roman"/>
                <w:szCs w:val="18"/>
              </w:rPr>
            </w:pPr>
            <w:r>
              <w:rPr>
                <w:rFonts w:ascii="Times New Roman" w:hAnsi="Times New Roman" w:eastAsia="宋体" w:cs="Times New Roman"/>
                <w:szCs w:val="18"/>
              </w:rPr>
              <w:t>7.15</w:t>
            </w:r>
          </w:p>
        </w:tc>
        <w:tc>
          <w:tcPr>
            <w:tcW w:w="472" w:type="pct"/>
            <w:vAlign w:val="center"/>
          </w:tcPr>
          <w:p w14:paraId="6E95E8F3">
            <w:pPr>
              <w:spacing w:line="360" w:lineRule="auto"/>
              <w:rPr>
                <w:rFonts w:ascii="Times New Roman" w:hAnsi="Times New Roman" w:eastAsia="宋体" w:cs="Times New Roman"/>
                <w:szCs w:val="18"/>
              </w:rPr>
            </w:pPr>
            <w:r>
              <w:rPr>
                <w:rFonts w:ascii="Times New Roman" w:hAnsi="Times New Roman" w:eastAsia="宋体" w:cs="Times New Roman"/>
                <w:szCs w:val="18"/>
              </w:rPr>
              <w:t>-1.36</w:t>
            </w:r>
          </w:p>
        </w:tc>
        <w:tc>
          <w:tcPr>
            <w:tcW w:w="482" w:type="pct"/>
            <w:vAlign w:val="center"/>
          </w:tcPr>
          <w:p w14:paraId="2BD0E843">
            <w:pPr>
              <w:spacing w:line="360" w:lineRule="auto"/>
              <w:rPr>
                <w:rFonts w:ascii="Times New Roman" w:hAnsi="Times New Roman" w:eastAsia="宋体" w:cs="Times New Roman"/>
                <w:szCs w:val="18"/>
              </w:rPr>
            </w:pPr>
            <w:r>
              <w:rPr>
                <w:rFonts w:ascii="Times New Roman" w:hAnsi="Times New Roman" w:eastAsia="宋体" w:cs="Times New Roman"/>
                <w:szCs w:val="18"/>
              </w:rPr>
              <w:t>1.98</w:t>
            </w:r>
          </w:p>
        </w:tc>
        <w:tc>
          <w:tcPr>
            <w:tcW w:w="438" w:type="pct"/>
            <w:vAlign w:val="center"/>
          </w:tcPr>
          <w:p w14:paraId="3BC40DFA">
            <w:pPr>
              <w:spacing w:line="360" w:lineRule="auto"/>
              <w:rPr>
                <w:rFonts w:ascii="Times New Roman" w:hAnsi="Times New Roman" w:eastAsia="宋体" w:cs="Times New Roman"/>
                <w:szCs w:val="18"/>
              </w:rPr>
            </w:pPr>
            <w:r>
              <w:rPr>
                <w:rFonts w:ascii="Times New Roman" w:hAnsi="Times New Roman" w:eastAsia="宋体" w:cs="Times New Roman"/>
                <w:szCs w:val="18"/>
              </w:rPr>
              <w:t>1.10</w:t>
            </w:r>
          </w:p>
        </w:tc>
        <w:tc>
          <w:tcPr>
            <w:tcW w:w="383" w:type="pct"/>
            <w:vAlign w:val="center"/>
          </w:tcPr>
          <w:p w14:paraId="7DBBE598">
            <w:pPr>
              <w:spacing w:line="360" w:lineRule="auto"/>
              <w:rPr>
                <w:rFonts w:ascii="Times New Roman" w:hAnsi="Times New Roman" w:eastAsia="宋体" w:cs="Times New Roman"/>
                <w:szCs w:val="18"/>
              </w:rPr>
            </w:pPr>
            <w:r>
              <w:rPr>
                <w:rFonts w:ascii="Times New Roman" w:hAnsi="Times New Roman" w:eastAsia="宋体" w:cs="Times New Roman"/>
                <w:szCs w:val="18"/>
              </w:rPr>
              <w:t>5.29</w:t>
            </w:r>
          </w:p>
        </w:tc>
        <w:tc>
          <w:tcPr>
            <w:tcW w:w="521" w:type="pct"/>
            <w:vAlign w:val="center"/>
          </w:tcPr>
          <w:p w14:paraId="32057029">
            <w:pPr>
              <w:spacing w:line="360" w:lineRule="auto"/>
              <w:rPr>
                <w:rFonts w:ascii="Times New Roman" w:hAnsi="Times New Roman" w:eastAsia="宋体" w:cs="Times New Roman"/>
                <w:szCs w:val="18"/>
              </w:rPr>
            </w:pPr>
            <w:r>
              <w:rPr>
                <w:rFonts w:ascii="Times New Roman" w:hAnsi="Times New Roman" w:eastAsia="宋体" w:cs="Times New Roman"/>
                <w:szCs w:val="18"/>
              </w:rPr>
              <w:t>-0.42</w:t>
            </w:r>
          </w:p>
        </w:tc>
        <w:tc>
          <w:tcPr>
            <w:tcW w:w="529" w:type="pct"/>
            <w:vAlign w:val="center"/>
          </w:tcPr>
          <w:p w14:paraId="4D880A5D">
            <w:pPr>
              <w:spacing w:line="360" w:lineRule="auto"/>
              <w:rPr>
                <w:rFonts w:ascii="Times New Roman" w:hAnsi="Times New Roman" w:eastAsia="宋体" w:cs="Times New Roman"/>
                <w:szCs w:val="18"/>
              </w:rPr>
            </w:pPr>
            <w:r>
              <w:rPr>
                <w:rFonts w:ascii="Times New Roman" w:hAnsi="Times New Roman" w:eastAsia="宋体" w:cs="Times New Roman"/>
                <w:szCs w:val="18"/>
              </w:rPr>
              <w:t>2.18</w:t>
            </w:r>
          </w:p>
        </w:tc>
        <w:tc>
          <w:tcPr>
            <w:tcW w:w="423" w:type="pct"/>
            <w:vAlign w:val="center"/>
          </w:tcPr>
          <w:p w14:paraId="2EF281ED">
            <w:pPr>
              <w:spacing w:line="360" w:lineRule="auto"/>
              <w:rPr>
                <w:rFonts w:ascii="Times New Roman" w:hAnsi="Times New Roman" w:eastAsia="宋体" w:cs="Times New Roman"/>
                <w:szCs w:val="18"/>
              </w:rPr>
            </w:pPr>
            <w:r>
              <w:rPr>
                <w:rFonts w:ascii="Times New Roman" w:hAnsi="Times New Roman" w:eastAsia="宋体" w:cs="Times New Roman"/>
                <w:szCs w:val="18"/>
              </w:rPr>
              <w:t>3.22</w:t>
            </w:r>
          </w:p>
        </w:tc>
      </w:tr>
      <w:tr w14:paraId="7ED499E0">
        <w:tblPrEx>
          <w:tblCellMar>
            <w:top w:w="0" w:type="dxa"/>
            <w:left w:w="108" w:type="dxa"/>
            <w:bottom w:w="0" w:type="dxa"/>
            <w:right w:w="108" w:type="dxa"/>
          </w:tblCellMar>
        </w:tblPrEx>
        <w:trPr>
          <w:jc w:val="center"/>
        </w:trPr>
        <w:tc>
          <w:tcPr>
            <w:tcW w:w="391" w:type="pct"/>
          </w:tcPr>
          <w:p w14:paraId="1D51E66F">
            <w:pPr>
              <w:spacing w:line="360" w:lineRule="auto"/>
              <w:rPr>
                <w:rFonts w:ascii="Times New Roman" w:hAnsi="Times New Roman" w:eastAsia="宋体" w:cs="Times New Roman"/>
                <w:szCs w:val="18"/>
              </w:rPr>
            </w:pPr>
            <w:r>
              <w:rPr>
                <w:rFonts w:ascii="Times New Roman" w:hAnsi="Times New Roman" w:eastAsia="宋体" w:cs="Times New Roman"/>
                <w:szCs w:val="18"/>
              </w:rPr>
              <w:t>11</w:t>
            </w:r>
          </w:p>
        </w:tc>
        <w:tc>
          <w:tcPr>
            <w:tcW w:w="380" w:type="pct"/>
          </w:tcPr>
          <w:p w14:paraId="4401D77A">
            <w:pPr>
              <w:spacing w:line="360" w:lineRule="auto"/>
              <w:rPr>
                <w:rFonts w:ascii="Times New Roman" w:hAnsi="Times New Roman" w:eastAsia="宋体" w:cs="Times New Roman"/>
                <w:szCs w:val="18"/>
              </w:rPr>
            </w:pPr>
            <w:r>
              <w:rPr>
                <w:rFonts w:ascii="Times New Roman" w:hAnsi="Times New Roman" w:eastAsia="宋体" w:cs="Times New Roman"/>
                <w:szCs w:val="18"/>
              </w:rPr>
              <w:t>W11</w:t>
            </w:r>
          </w:p>
        </w:tc>
        <w:tc>
          <w:tcPr>
            <w:tcW w:w="539" w:type="pct"/>
            <w:vAlign w:val="center"/>
          </w:tcPr>
          <w:p w14:paraId="634C0727">
            <w:pPr>
              <w:spacing w:line="360" w:lineRule="auto"/>
              <w:rPr>
                <w:rFonts w:ascii="Times New Roman" w:hAnsi="Times New Roman" w:eastAsia="宋体" w:cs="Times New Roman"/>
                <w:szCs w:val="18"/>
              </w:rPr>
            </w:pPr>
            <w:r>
              <w:rPr>
                <w:rFonts w:ascii="Times New Roman" w:hAnsi="Times New Roman" w:eastAsia="宋体" w:cs="Times New Roman"/>
                <w:szCs w:val="18"/>
              </w:rPr>
              <w:t>-12.12</w:t>
            </w:r>
          </w:p>
        </w:tc>
        <w:tc>
          <w:tcPr>
            <w:tcW w:w="438" w:type="pct"/>
            <w:vAlign w:val="center"/>
          </w:tcPr>
          <w:p w14:paraId="6AA8044F">
            <w:pPr>
              <w:spacing w:line="360" w:lineRule="auto"/>
              <w:rPr>
                <w:rFonts w:ascii="Times New Roman" w:hAnsi="Times New Roman" w:eastAsia="宋体" w:cs="Times New Roman"/>
                <w:szCs w:val="18"/>
              </w:rPr>
            </w:pPr>
            <w:r>
              <w:rPr>
                <w:rFonts w:ascii="Times New Roman" w:hAnsi="Times New Roman" w:eastAsia="宋体" w:cs="Times New Roman"/>
                <w:szCs w:val="18"/>
              </w:rPr>
              <w:t>4.36</w:t>
            </w:r>
          </w:p>
        </w:tc>
        <w:tc>
          <w:tcPr>
            <w:tcW w:w="472" w:type="pct"/>
            <w:vAlign w:val="center"/>
          </w:tcPr>
          <w:p w14:paraId="27784E6F">
            <w:pPr>
              <w:spacing w:line="360" w:lineRule="auto"/>
              <w:rPr>
                <w:rFonts w:ascii="Times New Roman" w:hAnsi="Times New Roman" w:eastAsia="宋体" w:cs="Times New Roman"/>
                <w:szCs w:val="18"/>
              </w:rPr>
            </w:pPr>
            <w:r>
              <w:rPr>
                <w:rFonts w:ascii="Times New Roman" w:hAnsi="Times New Roman" w:eastAsia="宋体" w:cs="Times New Roman"/>
                <w:szCs w:val="18"/>
              </w:rPr>
              <w:t>-0.98</w:t>
            </w:r>
          </w:p>
        </w:tc>
        <w:tc>
          <w:tcPr>
            <w:tcW w:w="482" w:type="pct"/>
            <w:vAlign w:val="center"/>
          </w:tcPr>
          <w:p w14:paraId="40FB2209">
            <w:pPr>
              <w:spacing w:line="360" w:lineRule="auto"/>
              <w:rPr>
                <w:rFonts w:ascii="Times New Roman" w:hAnsi="Times New Roman" w:eastAsia="宋体" w:cs="Times New Roman"/>
                <w:szCs w:val="18"/>
              </w:rPr>
            </w:pPr>
            <w:r>
              <w:rPr>
                <w:rFonts w:ascii="Times New Roman" w:hAnsi="Times New Roman" w:eastAsia="宋体" w:cs="Times New Roman"/>
                <w:szCs w:val="18"/>
              </w:rPr>
              <w:t>0.38</w:t>
            </w:r>
          </w:p>
        </w:tc>
        <w:tc>
          <w:tcPr>
            <w:tcW w:w="438" w:type="pct"/>
            <w:vAlign w:val="center"/>
          </w:tcPr>
          <w:p w14:paraId="6BEBA2AA">
            <w:pPr>
              <w:spacing w:line="360" w:lineRule="auto"/>
              <w:rPr>
                <w:rFonts w:ascii="Times New Roman" w:hAnsi="Times New Roman" w:eastAsia="宋体" w:cs="Times New Roman"/>
                <w:szCs w:val="18"/>
              </w:rPr>
            </w:pPr>
            <w:r>
              <w:rPr>
                <w:rFonts w:ascii="Times New Roman" w:hAnsi="Times New Roman" w:eastAsia="宋体" w:cs="Times New Roman"/>
                <w:szCs w:val="18"/>
              </w:rPr>
              <w:t>1.12</w:t>
            </w:r>
          </w:p>
        </w:tc>
        <w:tc>
          <w:tcPr>
            <w:tcW w:w="383" w:type="pct"/>
            <w:vAlign w:val="center"/>
          </w:tcPr>
          <w:p w14:paraId="7ECED943">
            <w:pPr>
              <w:spacing w:line="360" w:lineRule="auto"/>
              <w:rPr>
                <w:rFonts w:ascii="Times New Roman" w:hAnsi="Times New Roman" w:eastAsia="宋体" w:cs="Times New Roman"/>
                <w:szCs w:val="18"/>
              </w:rPr>
            </w:pPr>
            <w:r>
              <w:rPr>
                <w:rFonts w:ascii="Times New Roman" w:hAnsi="Times New Roman" w:eastAsia="宋体" w:cs="Times New Roman"/>
                <w:szCs w:val="18"/>
              </w:rPr>
              <w:t>5.02</w:t>
            </w:r>
          </w:p>
        </w:tc>
        <w:tc>
          <w:tcPr>
            <w:tcW w:w="521" w:type="pct"/>
            <w:vAlign w:val="center"/>
          </w:tcPr>
          <w:p w14:paraId="3FC287C2">
            <w:pPr>
              <w:spacing w:line="360" w:lineRule="auto"/>
              <w:rPr>
                <w:rFonts w:ascii="Times New Roman" w:hAnsi="Times New Roman" w:eastAsia="宋体" w:cs="Times New Roman"/>
                <w:szCs w:val="18"/>
              </w:rPr>
            </w:pPr>
            <w:r>
              <w:rPr>
                <w:rFonts w:ascii="Times New Roman" w:hAnsi="Times New Roman" w:eastAsia="宋体" w:cs="Times New Roman"/>
                <w:szCs w:val="18"/>
              </w:rPr>
              <w:t>-0.36</w:t>
            </w:r>
          </w:p>
        </w:tc>
        <w:tc>
          <w:tcPr>
            <w:tcW w:w="529" w:type="pct"/>
            <w:vAlign w:val="center"/>
          </w:tcPr>
          <w:p w14:paraId="1E1941CF">
            <w:pPr>
              <w:spacing w:line="360" w:lineRule="auto"/>
              <w:rPr>
                <w:rFonts w:ascii="Times New Roman" w:hAnsi="Times New Roman" w:eastAsia="宋体" w:cs="Times New Roman"/>
                <w:szCs w:val="18"/>
              </w:rPr>
            </w:pPr>
            <w:r>
              <w:rPr>
                <w:rFonts w:ascii="Times New Roman" w:hAnsi="Times New Roman" w:eastAsia="宋体" w:cs="Times New Roman"/>
                <w:szCs w:val="18"/>
              </w:rPr>
              <w:t>3.18</w:t>
            </w:r>
          </w:p>
        </w:tc>
        <w:tc>
          <w:tcPr>
            <w:tcW w:w="423" w:type="pct"/>
            <w:vAlign w:val="center"/>
          </w:tcPr>
          <w:p w14:paraId="5253B2BE">
            <w:pPr>
              <w:spacing w:line="360" w:lineRule="auto"/>
              <w:rPr>
                <w:rFonts w:ascii="Times New Roman" w:hAnsi="Times New Roman" w:eastAsia="宋体" w:cs="Times New Roman"/>
                <w:szCs w:val="18"/>
              </w:rPr>
            </w:pPr>
            <w:r>
              <w:rPr>
                <w:rFonts w:ascii="Times New Roman" w:hAnsi="Times New Roman" w:eastAsia="宋体" w:cs="Times New Roman"/>
                <w:szCs w:val="18"/>
              </w:rPr>
              <w:t>3.06</w:t>
            </w:r>
          </w:p>
        </w:tc>
      </w:tr>
      <w:tr w14:paraId="33843190">
        <w:tblPrEx>
          <w:tblCellMar>
            <w:top w:w="0" w:type="dxa"/>
            <w:left w:w="108" w:type="dxa"/>
            <w:bottom w:w="0" w:type="dxa"/>
            <w:right w:w="108" w:type="dxa"/>
          </w:tblCellMar>
        </w:tblPrEx>
        <w:trPr>
          <w:jc w:val="center"/>
        </w:trPr>
        <w:tc>
          <w:tcPr>
            <w:tcW w:w="391" w:type="pct"/>
          </w:tcPr>
          <w:p w14:paraId="5D670A4B">
            <w:pPr>
              <w:spacing w:line="360" w:lineRule="auto"/>
              <w:rPr>
                <w:rFonts w:ascii="Times New Roman" w:hAnsi="Times New Roman" w:eastAsia="宋体" w:cs="Times New Roman"/>
                <w:szCs w:val="18"/>
              </w:rPr>
            </w:pPr>
            <w:r>
              <w:rPr>
                <w:rFonts w:ascii="Times New Roman" w:hAnsi="Times New Roman" w:eastAsia="宋体" w:cs="Times New Roman"/>
                <w:szCs w:val="18"/>
              </w:rPr>
              <w:t>12</w:t>
            </w:r>
          </w:p>
        </w:tc>
        <w:tc>
          <w:tcPr>
            <w:tcW w:w="380" w:type="pct"/>
          </w:tcPr>
          <w:p w14:paraId="5C39C0B5">
            <w:pPr>
              <w:spacing w:line="360" w:lineRule="auto"/>
              <w:rPr>
                <w:rFonts w:ascii="Times New Roman" w:hAnsi="Times New Roman" w:eastAsia="宋体" w:cs="Times New Roman"/>
                <w:szCs w:val="18"/>
              </w:rPr>
            </w:pPr>
            <w:r>
              <w:rPr>
                <w:rFonts w:ascii="Times New Roman" w:hAnsi="Times New Roman" w:eastAsia="宋体" w:cs="Times New Roman"/>
                <w:szCs w:val="18"/>
              </w:rPr>
              <w:t>W12</w:t>
            </w:r>
          </w:p>
        </w:tc>
        <w:tc>
          <w:tcPr>
            <w:tcW w:w="539" w:type="pct"/>
            <w:vAlign w:val="center"/>
          </w:tcPr>
          <w:p w14:paraId="3D73B35D">
            <w:pPr>
              <w:spacing w:line="360" w:lineRule="auto"/>
              <w:rPr>
                <w:rFonts w:ascii="Times New Roman" w:hAnsi="Times New Roman" w:eastAsia="宋体" w:cs="Times New Roman"/>
                <w:szCs w:val="18"/>
              </w:rPr>
            </w:pPr>
            <w:r>
              <w:rPr>
                <w:rFonts w:ascii="Times New Roman" w:hAnsi="Times New Roman" w:eastAsia="宋体" w:cs="Times New Roman"/>
                <w:szCs w:val="18"/>
              </w:rPr>
              <w:t>-13.14</w:t>
            </w:r>
          </w:p>
        </w:tc>
        <w:tc>
          <w:tcPr>
            <w:tcW w:w="438" w:type="pct"/>
            <w:vAlign w:val="center"/>
          </w:tcPr>
          <w:p w14:paraId="637DC740">
            <w:pPr>
              <w:spacing w:line="360" w:lineRule="auto"/>
              <w:rPr>
                <w:rFonts w:ascii="Times New Roman" w:hAnsi="Times New Roman" w:eastAsia="宋体" w:cs="Times New Roman"/>
                <w:szCs w:val="18"/>
              </w:rPr>
            </w:pPr>
            <w:r>
              <w:rPr>
                <w:rFonts w:ascii="Times New Roman" w:hAnsi="Times New Roman" w:eastAsia="宋体" w:cs="Times New Roman"/>
                <w:szCs w:val="18"/>
              </w:rPr>
              <w:t>4.24</w:t>
            </w:r>
          </w:p>
        </w:tc>
        <w:tc>
          <w:tcPr>
            <w:tcW w:w="472" w:type="pct"/>
            <w:vAlign w:val="center"/>
          </w:tcPr>
          <w:p w14:paraId="2FF48C31">
            <w:pPr>
              <w:spacing w:line="360" w:lineRule="auto"/>
              <w:rPr>
                <w:rFonts w:ascii="Times New Roman" w:hAnsi="Times New Roman" w:eastAsia="宋体" w:cs="Times New Roman"/>
                <w:szCs w:val="18"/>
              </w:rPr>
            </w:pPr>
            <w:r>
              <w:rPr>
                <w:rFonts w:ascii="Times New Roman" w:hAnsi="Times New Roman" w:eastAsia="宋体" w:cs="Times New Roman"/>
                <w:szCs w:val="18"/>
              </w:rPr>
              <w:t>-1.10</w:t>
            </w:r>
          </w:p>
        </w:tc>
        <w:tc>
          <w:tcPr>
            <w:tcW w:w="482" w:type="pct"/>
            <w:vAlign w:val="center"/>
          </w:tcPr>
          <w:p w14:paraId="08B81591">
            <w:pPr>
              <w:spacing w:line="360" w:lineRule="auto"/>
              <w:rPr>
                <w:rFonts w:ascii="Times New Roman" w:hAnsi="Times New Roman" w:eastAsia="宋体" w:cs="Times New Roman"/>
                <w:szCs w:val="18"/>
              </w:rPr>
            </w:pPr>
            <w:r>
              <w:rPr>
                <w:rFonts w:ascii="Times New Roman" w:hAnsi="Times New Roman" w:eastAsia="宋体" w:cs="Times New Roman"/>
                <w:szCs w:val="18"/>
              </w:rPr>
              <w:t>0.43</w:t>
            </w:r>
          </w:p>
        </w:tc>
        <w:tc>
          <w:tcPr>
            <w:tcW w:w="438" w:type="pct"/>
            <w:vAlign w:val="center"/>
          </w:tcPr>
          <w:p w14:paraId="456DC0D7">
            <w:pPr>
              <w:spacing w:line="360" w:lineRule="auto"/>
              <w:rPr>
                <w:rFonts w:ascii="Times New Roman" w:hAnsi="Times New Roman" w:eastAsia="宋体" w:cs="Times New Roman"/>
                <w:szCs w:val="18"/>
              </w:rPr>
            </w:pPr>
            <w:r>
              <w:rPr>
                <w:rFonts w:ascii="Times New Roman" w:hAnsi="Times New Roman" w:eastAsia="宋体" w:cs="Times New Roman"/>
                <w:szCs w:val="18"/>
              </w:rPr>
              <w:t>1.01</w:t>
            </w:r>
          </w:p>
        </w:tc>
        <w:tc>
          <w:tcPr>
            <w:tcW w:w="383" w:type="pct"/>
            <w:vAlign w:val="center"/>
          </w:tcPr>
          <w:p w14:paraId="523D302F">
            <w:pPr>
              <w:spacing w:line="360" w:lineRule="auto"/>
              <w:rPr>
                <w:rFonts w:ascii="Times New Roman" w:hAnsi="Times New Roman" w:eastAsia="宋体" w:cs="Times New Roman"/>
                <w:szCs w:val="18"/>
              </w:rPr>
            </w:pPr>
            <w:r>
              <w:rPr>
                <w:rFonts w:ascii="Times New Roman" w:hAnsi="Times New Roman" w:eastAsia="宋体" w:cs="Times New Roman"/>
                <w:szCs w:val="18"/>
              </w:rPr>
              <w:t>5.47</w:t>
            </w:r>
          </w:p>
        </w:tc>
        <w:tc>
          <w:tcPr>
            <w:tcW w:w="521" w:type="pct"/>
            <w:vAlign w:val="center"/>
          </w:tcPr>
          <w:p w14:paraId="13014045">
            <w:pPr>
              <w:spacing w:line="360" w:lineRule="auto"/>
              <w:rPr>
                <w:rFonts w:ascii="Times New Roman" w:hAnsi="Times New Roman" w:eastAsia="宋体" w:cs="Times New Roman"/>
                <w:szCs w:val="18"/>
              </w:rPr>
            </w:pPr>
            <w:r>
              <w:rPr>
                <w:rFonts w:ascii="Times New Roman" w:hAnsi="Times New Roman" w:eastAsia="宋体" w:cs="Times New Roman"/>
                <w:szCs w:val="18"/>
              </w:rPr>
              <w:t>-0.20</w:t>
            </w:r>
          </w:p>
        </w:tc>
        <w:tc>
          <w:tcPr>
            <w:tcW w:w="529" w:type="pct"/>
            <w:vAlign w:val="center"/>
          </w:tcPr>
          <w:p w14:paraId="4E63CEDB">
            <w:pPr>
              <w:spacing w:line="360" w:lineRule="auto"/>
              <w:rPr>
                <w:rFonts w:ascii="Times New Roman" w:hAnsi="Times New Roman" w:eastAsia="宋体" w:cs="Times New Roman"/>
                <w:szCs w:val="18"/>
              </w:rPr>
            </w:pPr>
            <w:r>
              <w:rPr>
                <w:rFonts w:ascii="Times New Roman" w:hAnsi="Times New Roman" w:eastAsia="宋体" w:cs="Times New Roman"/>
                <w:szCs w:val="18"/>
              </w:rPr>
              <w:t>2.88</w:t>
            </w:r>
          </w:p>
        </w:tc>
        <w:tc>
          <w:tcPr>
            <w:tcW w:w="423" w:type="pct"/>
            <w:vAlign w:val="center"/>
          </w:tcPr>
          <w:p w14:paraId="468BE96D">
            <w:pPr>
              <w:spacing w:line="360" w:lineRule="auto"/>
              <w:rPr>
                <w:rFonts w:ascii="Times New Roman" w:hAnsi="Times New Roman" w:eastAsia="宋体" w:cs="Times New Roman"/>
                <w:szCs w:val="18"/>
              </w:rPr>
            </w:pPr>
            <w:r>
              <w:rPr>
                <w:rFonts w:ascii="Times New Roman" w:hAnsi="Times New Roman" w:eastAsia="宋体" w:cs="Times New Roman"/>
                <w:szCs w:val="18"/>
              </w:rPr>
              <w:t>3.22</w:t>
            </w:r>
          </w:p>
        </w:tc>
      </w:tr>
      <w:tr w14:paraId="507B0757">
        <w:tblPrEx>
          <w:tblCellMar>
            <w:top w:w="0" w:type="dxa"/>
            <w:left w:w="108" w:type="dxa"/>
            <w:bottom w:w="0" w:type="dxa"/>
            <w:right w:w="108" w:type="dxa"/>
          </w:tblCellMar>
        </w:tblPrEx>
        <w:trPr>
          <w:jc w:val="center"/>
        </w:trPr>
        <w:tc>
          <w:tcPr>
            <w:tcW w:w="391" w:type="pct"/>
          </w:tcPr>
          <w:p w14:paraId="69E099D3">
            <w:pPr>
              <w:spacing w:line="360" w:lineRule="auto"/>
              <w:rPr>
                <w:rFonts w:ascii="Times New Roman" w:hAnsi="Times New Roman" w:eastAsia="宋体" w:cs="Times New Roman"/>
                <w:szCs w:val="18"/>
              </w:rPr>
            </w:pPr>
            <w:r>
              <w:rPr>
                <w:rFonts w:ascii="Times New Roman" w:hAnsi="Times New Roman" w:eastAsia="宋体" w:cs="Times New Roman"/>
                <w:szCs w:val="18"/>
              </w:rPr>
              <w:t>13</w:t>
            </w:r>
          </w:p>
        </w:tc>
        <w:tc>
          <w:tcPr>
            <w:tcW w:w="380" w:type="pct"/>
          </w:tcPr>
          <w:p w14:paraId="698629A4">
            <w:pPr>
              <w:spacing w:line="360" w:lineRule="auto"/>
              <w:rPr>
                <w:rFonts w:ascii="Times New Roman" w:hAnsi="Times New Roman" w:eastAsia="宋体" w:cs="Times New Roman"/>
                <w:szCs w:val="18"/>
              </w:rPr>
            </w:pPr>
            <w:r>
              <w:rPr>
                <w:rFonts w:ascii="Times New Roman" w:hAnsi="Times New Roman" w:eastAsia="宋体" w:cs="Times New Roman"/>
                <w:szCs w:val="18"/>
              </w:rPr>
              <w:t>W13</w:t>
            </w:r>
          </w:p>
        </w:tc>
        <w:tc>
          <w:tcPr>
            <w:tcW w:w="539" w:type="pct"/>
            <w:vAlign w:val="center"/>
          </w:tcPr>
          <w:p w14:paraId="6ED1032A">
            <w:pPr>
              <w:spacing w:line="360" w:lineRule="auto"/>
              <w:rPr>
                <w:rFonts w:ascii="Times New Roman" w:hAnsi="Times New Roman" w:eastAsia="宋体" w:cs="Times New Roman"/>
                <w:szCs w:val="18"/>
              </w:rPr>
            </w:pPr>
            <w:r>
              <w:rPr>
                <w:rFonts w:ascii="Times New Roman" w:hAnsi="Times New Roman" w:eastAsia="宋体" w:cs="Times New Roman"/>
                <w:szCs w:val="18"/>
              </w:rPr>
              <w:t>-13.48</w:t>
            </w:r>
          </w:p>
        </w:tc>
        <w:tc>
          <w:tcPr>
            <w:tcW w:w="438" w:type="pct"/>
            <w:vAlign w:val="center"/>
          </w:tcPr>
          <w:p w14:paraId="05DCF75A">
            <w:pPr>
              <w:spacing w:line="360" w:lineRule="auto"/>
              <w:rPr>
                <w:rFonts w:ascii="Times New Roman" w:hAnsi="Times New Roman" w:eastAsia="宋体" w:cs="Times New Roman"/>
                <w:szCs w:val="18"/>
              </w:rPr>
            </w:pPr>
            <w:r>
              <w:rPr>
                <w:rFonts w:ascii="Times New Roman" w:hAnsi="Times New Roman" w:eastAsia="宋体" w:cs="Times New Roman"/>
                <w:szCs w:val="18"/>
              </w:rPr>
              <w:t>5.21</w:t>
            </w:r>
          </w:p>
        </w:tc>
        <w:tc>
          <w:tcPr>
            <w:tcW w:w="472" w:type="pct"/>
            <w:vAlign w:val="center"/>
          </w:tcPr>
          <w:p w14:paraId="1BD2EA24">
            <w:pPr>
              <w:spacing w:line="360" w:lineRule="auto"/>
              <w:rPr>
                <w:rFonts w:ascii="Times New Roman" w:hAnsi="Times New Roman" w:eastAsia="宋体" w:cs="Times New Roman"/>
                <w:szCs w:val="18"/>
              </w:rPr>
            </w:pPr>
            <w:r>
              <w:rPr>
                <w:rFonts w:ascii="Times New Roman" w:hAnsi="Times New Roman" w:eastAsia="宋体" w:cs="Times New Roman"/>
                <w:szCs w:val="18"/>
              </w:rPr>
              <w:t>-0.39</w:t>
            </w:r>
          </w:p>
        </w:tc>
        <w:tc>
          <w:tcPr>
            <w:tcW w:w="482" w:type="pct"/>
            <w:vAlign w:val="center"/>
          </w:tcPr>
          <w:p w14:paraId="7958AE40">
            <w:pPr>
              <w:spacing w:line="360" w:lineRule="auto"/>
              <w:rPr>
                <w:rFonts w:ascii="Times New Roman" w:hAnsi="Times New Roman" w:eastAsia="宋体" w:cs="Times New Roman"/>
                <w:szCs w:val="18"/>
              </w:rPr>
            </w:pPr>
            <w:r>
              <w:rPr>
                <w:rFonts w:ascii="Times New Roman" w:hAnsi="Times New Roman" w:eastAsia="宋体" w:cs="Times New Roman"/>
                <w:szCs w:val="18"/>
              </w:rPr>
              <w:t>0.38</w:t>
            </w:r>
          </w:p>
        </w:tc>
        <w:tc>
          <w:tcPr>
            <w:tcW w:w="438" w:type="pct"/>
            <w:vAlign w:val="center"/>
          </w:tcPr>
          <w:p w14:paraId="187079A1">
            <w:pPr>
              <w:spacing w:line="360" w:lineRule="auto"/>
              <w:rPr>
                <w:rFonts w:ascii="Times New Roman" w:hAnsi="Times New Roman" w:eastAsia="宋体" w:cs="Times New Roman"/>
                <w:szCs w:val="18"/>
              </w:rPr>
            </w:pPr>
            <w:r>
              <w:rPr>
                <w:rFonts w:ascii="Times New Roman" w:hAnsi="Times New Roman" w:eastAsia="宋体" w:cs="Times New Roman"/>
                <w:szCs w:val="18"/>
              </w:rPr>
              <w:t>1.32</w:t>
            </w:r>
          </w:p>
        </w:tc>
        <w:tc>
          <w:tcPr>
            <w:tcW w:w="383" w:type="pct"/>
            <w:vAlign w:val="center"/>
          </w:tcPr>
          <w:p w14:paraId="71B96B4D">
            <w:pPr>
              <w:spacing w:line="360" w:lineRule="auto"/>
              <w:rPr>
                <w:rFonts w:ascii="Times New Roman" w:hAnsi="Times New Roman" w:eastAsia="宋体" w:cs="Times New Roman"/>
                <w:szCs w:val="18"/>
              </w:rPr>
            </w:pPr>
            <w:r>
              <w:rPr>
                <w:rFonts w:ascii="Times New Roman" w:hAnsi="Times New Roman" w:eastAsia="宋体" w:cs="Times New Roman"/>
                <w:szCs w:val="18"/>
              </w:rPr>
              <w:t>5.63</w:t>
            </w:r>
          </w:p>
        </w:tc>
        <w:tc>
          <w:tcPr>
            <w:tcW w:w="521" w:type="pct"/>
            <w:vAlign w:val="center"/>
          </w:tcPr>
          <w:p w14:paraId="6E9E3D33">
            <w:pPr>
              <w:spacing w:line="360" w:lineRule="auto"/>
              <w:rPr>
                <w:rFonts w:ascii="Times New Roman" w:hAnsi="Times New Roman" w:eastAsia="宋体" w:cs="Times New Roman"/>
                <w:szCs w:val="18"/>
              </w:rPr>
            </w:pPr>
            <w:r>
              <w:rPr>
                <w:rFonts w:ascii="Times New Roman" w:hAnsi="Times New Roman" w:eastAsia="宋体" w:cs="Times New Roman"/>
                <w:szCs w:val="18"/>
              </w:rPr>
              <w:t>-0.31</w:t>
            </w:r>
          </w:p>
        </w:tc>
        <w:tc>
          <w:tcPr>
            <w:tcW w:w="529" w:type="pct"/>
            <w:vAlign w:val="center"/>
          </w:tcPr>
          <w:p w14:paraId="7428435A">
            <w:pPr>
              <w:spacing w:line="360" w:lineRule="auto"/>
              <w:rPr>
                <w:rFonts w:ascii="Times New Roman" w:hAnsi="Times New Roman" w:eastAsia="宋体" w:cs="Times New Roman"/>
                <w:szCs w:val="18"/>
              </w:rPr>
            </w:pPr>
            <w:r>
              <w:rPr>
                <w:rFonts w:ascii="Times New Roman" w:hAnsi="Times New Roman" w:eastAsia="宋体" w:cs="Times New Roman"/>
                <w:szCs w:val="18"/>
              </w:rPr>
              <w:t>2.69</w:t>
            </w:r>
          </w:p>
        </w:tc>
        <w:tc>
          <w:tcPr>
            <w:tcW w:w="423" w:type="pct"/>
            <w:vAlign w:val="center"/>
          </w:tcPr>
          <w:p w14:paraId="0BC741FC">
            <w:pPr>
              <w:spacing w:line="360" w:lineRule="auto"/>
              <w:rPr>
                <w:rFonts w:ascii="Times New Roman" w:hAnsi="Times New Roman" w:eastAsia="宋体" w:cs="Times New Roman"/>
                <w:szCs w:val="18"/>
              </w:rPr>
            </w:pPr>
            <w:r>
              <w:rPr>
                <w:rFonts w:ascii="Times New Roman" w:hAnsi="Times New Roman" w:eastAsia="宋体" w:cs="Times New Roman"/>
                <w:szCs w:val="18"/>
              </w:rPr>
              <w:t>2.96</w:t>
            </w:r>
          </w:p>
        </w:tc>
      </w:tr>
      <w:tr w14:paraId="724E73E6">
        <w:tblPrEx>
          <w:tblCellMar>
            <w:top w:w="0" w:type="dxa"/>
            <w:left w:w="108" w:type="dxa"/>
            <w:bottom w:w="0" w:type="dxa"/>
            <w:right w:w="108" w:type="dxa"/>
          </w:tblCellMar>
        </w:tblPrEx>
        <w:trPr>
          <w:jc w:val="center"/>
        </w:trPr>
        <w:tc>
          <w:tcPr>
            <w:tcW w:w="391" w:type="pct"/>
          </w:tcPr>
          <w:p w14:paraId="7ED686C6">
            <w:pPr>
              <w:spacing w:line="360" w:lineRule="auto"/>
              <w:rPr>
                <w:rFonts w:ascii="Times New Roman" w:hAnsi="Times New Roman" w:eastAsia="宋体" w:cs="Times New Roman"/>
                <w:szCs w:val="18"/>
              </w:rPr>
            </w:pPr>
            <w:r>
              <w:rPr>
                <w:rFonts w:ascii="Times New Roman" w:hAnsi="Times New Roman" w:eastAsia="宋体" w:cs="Times New Roman"/>
                <w:szCs w:val="18"/>
              </w:rPr>
              <w:t>14</w:t>
            </w:r>
          </w:p>
        </w:tc>
        <w:tc>
          <w:tcPr>
            <w:tcW w:w="380" w:type="pct"/>
          </w:tcPr>
          <w:p w14:paraId="5C570D63">
            <w:pPr>
              <w:spacing w:line="360" w:lineRule="auto"/>
              <w:rPr>
                <w:rFonts w:ascii="Times New Roman" w:hAnsi="Times New Roman" w:eastAsia="宋体" w:cs="Times New Roman"/>
                <w:szCs w:val="18"/>
              </w:rPr>
            </w:pPr>
            <w:r>
              <w:rPr>
                <w:rFonts w:ascii="Times New Roman" w:hAnsi="Times New Roman" w:eastAsia="宋体" w:cs="Times New Roman"/>
                <w:szCs w:val="18"/>
              </w:rPr>
              <w:t>W14</w:t>
            </w:r>
          </w:p>
        </w:tc>
        <w:tc>
          <w:tcPr>
            <w:tcW w:w="539" w:type="pct"/>
            <w:vAlign w:val="bottom"/>
          </w:tcPr>
          <w:p w14:paraId="655B5785">
            <w:pPr>
              <w:spacing w:line="360" w:lineRule="auto"/>
              <w:rPr>
                <w:rFonts w:ascii="Times New Roman" w:hAnsi="Times New Roman" w:eastAsia="宋体" w:cs="Times New Roman"/>
                <w:szCs w:val="18"/>
              </w:rPr>
            </w:pPr>
            <w:r>
              <w:rPr>
                <w:rFonts w:ascii="Times New Roman" w:hAnsi="Times New Roman" w:eastAsia="宋体" w:cs="Times New Roman"/>
                <w:szCs w:val="18"/>
              </w:rPr>
              <w:t>-13.31</w:t>
            </w:r>
          </w:p>
        </w:tc>
        <w:tc>
          <w:tcPr>
            <w:tcW w:w="438" w:type="pct"/>
            <w:vAlign w:val="bottom"/>
          </w:tcPr>
          <w:p w14:paraId="094D8C80">
            <w:pPr>
              <w:spacing w:line="360" w:lineRule="auto"/>
              <w:rPr>
                <w:rFonts w:ascii="Times New Roman" w:hAnsi="Times New Roman" w:eastAsia="宋体" w:cs="Times New Roman"/>
                <w:szCs w:val="18"/>
              </w:rPr>
            </w:pPr>
            <w:r>
              <w:rPr>
                <w:rFonts w:ascii="Times New Roman" w:hAnsi="Times New Roman" w:eastAsia="宋体" w:cs="Times New Roman"/>
                <w:szCs w:val="18"/>
              </w:rPr>
              <w:t>4.72</w:t>
            </w:r>
          </w:p>
        </w:tc>
        <w:tc>
          <w:tcPr>
            <w:tcW w:w="472" w:type="pct"/>
            <w:vAlign w:val="bottom"/>
          </w:tcPr>
          <w:p w14:paraId="2C9D84F1">
            <w:pPr>
              <w:spacing w:line="360" w:lineRule="auto"/>
              <w:rPr>
                <w:rFonts w:ascii="Times New Roman" w:hAnsi="Times New Roman" w:eastAsia="宋体" w:cs="Times New Roman"/>
                <w:szCs w:val="18"/>
              </w:rPr>
            </w:pPr>
            <w:r>
              <w:rPr>
                <w:rFonts w:ascii="Times New Roman" w:hAnsi="Times New Roman" w:eastAsia="宋体" w:cs="Times New Roman"/>
                <w:szCs w:val="18"/>
              </w:rPr>
              <w:t>-0.74</w:t>
            </w:r>
          </w:p>
        </w:tc>
        <w:tc>
          <w:tcPr>
            <w:tcW w:w="482" w:type="pct"/>
            <w:vAlign w:val="bottom"/>
          </w:tcPr>
          <w:p w14:paraId="77E1B8DD">
            <w:pPr>
              <w:spacing w:line="360" w:lineRule="auto"/>
              <w:rPr>
                <w:rFonts w:ascii="Times New Roman" w:hAnsi="Times New Roman" w:eastAsia="宋体" w:cs="Times New Roman"/>
                <w:szCs w:val="18"/>
              </w:rPr>
            </w:pPr>
            <w:r>
              <w:rPr>
                <w:rFonts w:ascii="Times New Roman" w:hAnsi="Times New Roman" w:eastAsia="宋体" w:cs="Times New Roman"/>
                <w:szCs w:val="18"/>
              </w:rPr>
              <w:t>0.40</w:t>
            </w:r>
          </w:p>
        </w:tc>
        <w:tc>
          <w:tcPr>
            <w:tcW w:w="438" w:type="pct"/>
            <w:vAlign w:val="bottom"/>
          </w:tcPr>
          <w:p w14:paraId="2021509E">
            <w:pPr>
              <w:spacing w:line="360" w:lineRule="auto"/>
              <w:rPr>
                <w:rFonts w:ascii="Times New Roman" w:hAnsi="Times New Roman" w:eastAsia="宋体" w:cs="Times New Roman"/>
                <w:szCs w:val="18"/>
              </w:rPr>
            </w:pPr>
            <w:r>
              <w:rPr>
                <w:rFonts w:ascii="Times New Roman" w:hAnsi="Times New Roman" w:eastAsia="宋体" w:cs="Times New Roman"/>
                <w:szCs w:val="18"/>
              </w:rPr>
              <w:t>1.16</w:t>
            </w:r>
          </w:p>
        </w:tc>
        <w:tc>
          <w:tcPr>
            <w:tcW w:w="383" w:type="pct"/>
            <w:vAlign w:val="bottom"/>
          </w:tcPr>
          <w:p w14:paraId="343F65AD">
            <w:pPr>
              <w:spacing w:line="360" w:lineRule="auto"/>
              <w:rPr>
                <w:rFonts w:ascii="Times New Roman" w:hAnsi="Times New Roman" w:eastAsia="宋体" w:cs="Times New Roman"/>
                <w:szCs w:val="18"/>
              </w:rPr>
            </w:pPr>
            <w:r>
              <w:rPr>
                <w:rFonts w:ascii="Times New Roman" w:hAnsi="Times New Roman" w:eastAsia="宋体" w:cs="Times New Roman"/>
                <w:szCs w:val="18"/>
              </w:rPr>
              <w:t>5.55</w:t>
            </w:r>
          </w:p>
        </w:tc>
        <w:tc>
          <w:tcPr>
            <w:tcW w:w="521" w:type="pct"/>
            <w:vAlign w:val="bottom"/>
          </w:tcPr>
          <w:p w14:paraId="4FF8DF53">
            <w:pPr>
              <w:spacing w:line="360" w:lineRule="auto"/>
              <w:rPr>
                <w:rFonts w:ascii="Times New Roman" w:hAnsi="Times New Roman" w:eastAsia="宋体" w:cs="Times New Roman"/>
                <w:szCs w:val="18"/>
              </w:rPr>
            </w:pPr>
            <w:r>
              <w:rPr>
                <w:rFonts w:ascii="Times New Roman" w:hAnsi="Times New Roman" w:eastAsia="宋体" w:cs="Times New Roman"/>
                <w:szCs w:val="18"/>
              </w:rPr>
              <w:t>-0.26</w:t>
            </w:r>
          </w:p>
        </w:tc>
        <w:tc>
          <w:tcPr>
            <w:tcW w:w="529" w:type="pct"/>
            <w:vAlign w:val="bottom"/>
          </w:tcPr>
          <w:p w14:paraId="47ABAC52">
            <w:pPr>
              <w:spacing w:line="360" w:lineRule="auto"/>
              <w:rPr>
                <w:rFonts w:ascii="Times New Roman" w:hAnsi="Times New Roman" w:eastAsia="宋体" w:cs="Times New Roman"/>
                <w:szCs w:val="18"/>
              </w:rPr>
            </w:pPr>
            <w:r>
              <w:rPr>
                <w:rFonts w:ascii="Times New Roman" w:hAnsi="Times New Roman" w:eastAsia="宋体" w:cs="Times New Roman"/>
                <w:szCs w:val="18"/>
              </w:rPr>
              <w:t>2.78</w:t>
            </w:r>
          </w:p>
        </w:tc>
        <w:tc>
          <w:tcPr>
            <w:tcW w:w="423" w:type="pct"/>
            <w:vAlign w:val="center"/>
          </w:tcPr>
          <w:p w14:paraId="3D1ED579">
            <w:pPr>
              <w:spacing w:line="360" w:lineRule="auto"/>
              <w:rPr>
                <w:rFonts w:ascii="Times New Roman" w:hAnsi="Times New Roman" w:eastAsia="宋体" w:cs="Times New Roman"/>
                <w:szCs w:val="18"/>
              </w:rPr>
            </w:pPr>
            <w:r>
              <w:rPr>
                <w:rFonts w:ascii="Times New Roman" w:hAnsi="Times New Roman" w:eastAsia="宋体" w:cs="Times New Roman"/>
                <w:szCs w:val="18"/>
              </w:rPr>
              <w:t>1.69</w:t>
            </w:r>
          </w:p>
        </w:tc>
      </w:tr>
      <w:tr w14:paraId="627D9879">
        <w:tblPrEx>
          <w:tblCellMar>
            <w:top w:w="0" w:type="dxa"/>
            <w:left w:w="108" w:type="dxa"/>
            <w:bottom w:w="0" w:type="dxa"/>
            <w:right w:w="108" w:type="dxa"/>
          </w:tblCellMar>
        </w:tblPrEx>
        <w:trPr>
          <w:jc w:val="center"/>
        </w:trPr>
        <w:tc>
          <w:tcPr>
            <w:tcW w:w="391" w:type="pct"/>
          </w:tcPr>
          <w:p w14:paraId="3FABB825">
            <w:pPr>
              <w:spacing w:line="360" w:lineRule="auto"/>
              <w:rPr>
                <w:rFonts w:ascii="Times New Roman" w:hAnsi="Times New Roman" w:eastAsia="宋体" w:cs="Times New Roman"/>
                <w:szCs w:val="18"/>
              </w:rPr>
            </w:pPr>
            <w:r>
              <w:rPr>
                <w:rFonts w:ascii="Times New Roman" w:hAnsi="Times New Roman" w:eastAsia="宋体" w:cs="Times New Roman"/>
                <w:szCs w:val="18"/>
              </w:rPr>
              <w:t>15</w:t>
            </w:r>
          </w:p>
        </w:tc>
        <w:tc>
          <w:tcPr>
            <w:tcW w:w="380" w:type="pct"/>
          </w:tcPr>
          <w:p w14:paraId="08C69AD5">
            <w:pPr>
              <w:spacing w:line="360" w:lineRule="auto"/>
              <w:rPr>
                <w:rFonts w:ascii="Times New Roman" w:hAnsi="Times New Roman" w:eastAsia="宋体" w:cs="Times New Roman"/>
                <w:szCs w:val="18"/>
              </w:rPr>
            </w:pPr>
            <w:r>
              <w:rPr>
                <w:rFonts w:ascii="Times New Roman" w:hAnsi="Times New Roman" w:eastAsia="宋体" w:cs="Times New Roman"/>
                <w:szCs w:val="18"/>
              </w:rPr>
              <w:t>W15</w:t>
            </w:r>
          </w:p>
        </w:tc>
        <w:tc>
          <w:tcPr>
            <w:tcW w:w="539" w:type="pct"/>
            <w:vAlign w:val="center"/>
          </w:tcPr>
          <w:p w14:paraId="49059DB0">
            <w:pPr>
              <w:spacing w:line="360" w:lineRule="auto"/>
              <w:rPr>
                <w:rFonts w:ascii="Times New Roman" w:hAnsi="Times New Roman" w:eastAsia="宋体" w:cs="Times New Roman"/>
                <w:szCs w:val="18"/>
              </w:rPr>
            </w:pPr>
            <w:r>
              <w:rPr>
                <w:rFonts w:ascii="Times New Roman" w:hAnsi="Times New Roman" w:eastAsia="宋体" w:cs="Times New Roman"/>
                <w:szCs w:val="18"/>
              </w:rPr>
              <w:t>-12.64</w:t>
            </w:r>
          </w:p>
        </w:tc>
        <w:tc>
          <w:tcPr>
            <w:tcW w:w="438" w:type="pct"/>
            <w:vAlign w:val="center"/>
          </w:tcPr>
          <w:p w14:paraId="3D10114D">
            <w:pPr>
              <w:spacing w:line="360" w:lineRule="auto"/>
              <w:rPr>
                <w:rFonts w:ascii="Times New Roman" w:hAnsi="Times New Roman" w:eastAsia="宋体" w:cs="Times New Roman"/>
                <w:szCs w:val="18"/>
              </w:rPr>
            </w:pPr>
            <w:r>
              <w:rPr>
                <w:rFonts w:ascii="Times New Roman" w:hAnsi="Times New Roman" w:eastAsia="宋体" w:cs="Times New Roman"/>
                <w:szCs w:val="18"/>
              </w:rPr>
              <w:t>5.35</w:t>
            </w:r>
          </w:p>
        </w:tc>
        <w:tc>
          <w:tcPr>
            <w:tcW w:w="472" w:type="pct"/>
            <w:vAlign w:val="center"/>
          </w:tcPr>
          <w:p w14:paraId="7990D417">
            <w:pPr>
              <w:spacing w:line="360" w:lineRule="auto"/>
              <w:rPr>
                <w:rFonts w:ascii="Times New Roman" w:hAnsi="Times New Roman" w:eastAsia="宋体" w:cs="Times New Roman"/>
                <w:szCs w:val="18"/>
              </w:rPr>
            </w:pPr>
            <w:r>
              <w:rPr>
                <w:rFonts w:ascii="Times New Roman" w:hAnsi="Times New Roman" w:eastAsia="宋体" w:cs="Times New Roman"/>
                <w:szCs w:val="18"/>
              </w:rPr>
              <w:t>0.66</w:t>
            </w:r>
          </w:p>
        </w:tc>
        <w:tc>
          <w:tcPr>
            <w:tcW w:w="482" w:type="pct"/>
            <w:vAlign w:val="center"/>
          </w:tcPr>
          <w:p w14:paraId="40339194">
            <w:pPr>
              <w:spacing w:line="360" w:lineRule="auto"/>
              <w:rPr>
                <w:rFonts w:ascii="Times New Roman" w:hAnsi="Times New Roman" w:eastAsia="宋体" w:cs="Times New Roman"/>
                <w:szCs w:val="18"/>
              </w:rPr>
            </w:pPr>
            <w:r>
              <w:rPr>
                <w:rFonts w:ascii="Times New Roman" w:hAnsi="Times New Roman" w:eastAsia="宋体" w:cs="Times New Roman"/>
                <w:szCs w:val="18"/>
              </w:rPr>
              <w:t>0.31</w:t>
            </w:r>
          </w:p>
        </w:tc>
        <w:tc>
          <w:tcPr>
            <w:tcW w:w="438" w:type="pct"/>
            <w:vAlign w:val="center"/>
          </w:tcPr>
          <w:p w14:paraId="6D792653">
            <w:pPr>
              <w:spacing w:line="360" w:lineRule="auto"/>
              <w:rPr>
                <w:rFonts w:ascii="Times New Roman" w:hAnsi="Times New Roman" w:eastAsia="宋体" w:cs="Times New Roman"/>
                <w:szCs w:val="18"/>
              </w:rPr>
            </w:pPr>
            <w:r>
              <w:rPr>
                <w:rFonts w:ascii="Times New Roman" w:hAnsi="Times New Roman" w:eastAsia="宋体" w:cs="Times New Roman"/>
                <w:szCs w:val="18"/>
              </w:rPr>
              <w:t>0.96</w:t>
            </w:r>
          </w:p>
        </w:tc>
        <w:tc>
          <w:tcPr>
            <w:tcW w:w="383" w:type="pct"/>
            <w:vAlign w:val="center"/>
          </w:tcPr>
          <w:p w14:paraId="388D4DA8">
            <w:pPr>
              <w:spacing w:line="360" w:lineRule="auto"/>
              <w:rPr>
                <w:rFonts w:ascii="Times New Roman" w:hAnsi="Times New Roman" w:eastAsia="宋体" w:cs="Times New Roman"/>
                <w:szCs w:val="18"/>
              </w:rPr>
            </w:pPr>
            <w:r>
              <w:rPr>
                <w:rFonts w:ascii="Times New Roman" w:hAnsi="Times New Roman" w:eastAsia="宋体" w:cs="Times New Roman"/>
                <w:szCs w:val="18"/>
              </w:rPr>
              <w:t>5.57</w:t>
            </w:r>
          </w:p>
        </w:tc>
        <w:tc>
          <w:tcPr>
            <w:tcW w:w="521" w:type="pct"/>
            <w:vAlign w:val="center"/>
          </w:tcPr>
          <w:p w14:paraId="0DE65DEA">
            <w:pPr>
              <w:spacing w:line="360" w:lineRule="auto"/>
              <w:rPr>
                <w:rFonts w:ascii="Times New Roman" w:hAnsi="Times New Roman" w:eastAsia="宋体" w:cs="Times New Roman"/>
                <w:szCs w:val="18"/>
              </w:rPr>
            </w:pPr>
            <w:r>
              <w:rPr>
                <w:rFonts w:ascii="Times New Roman" w:hAnsi="Times New Roman" w:eastAsia="宋体" w:cs="Times New Roman"/>
                <w:szCs w:val="18"/>
              </w:rPr>
              <w:t>-0.40</w:t>
            </w:r>
          </w:p>
        </w:tc>
        <w:tc>
          <w:tcPr>
            <w:tcW w:w="529" w:type="pct"/>
            <w:vAlign w:val="center"/>
          </w:tcPr>
          <w:p w14:paraId="3D025886">
            <w:pPr>
              <w:spacing w:line="360" w:lineRule="auto"/>
              <w:rPr>
                <w:rFonts w:ascii="Times New Roman" w:hAnsi="Times New Roman" w:eastAsia="宋体" w:cs="Times New Roman"/>
                <w:szCs w:val="18"/>
              </w:rPr>
            </w:pPr>
            <w:r>
              <w:rPr>
                <w:rFonts w:ascii="Times New Roman" w:hAnsi="Times New Roman" w:eastAsia="宋体" w:cs="Times New Roman"/>
                <w:szCs w:val="18"/>
              </w:rPr>
              <w:t>3.09</w:t>
            </w:r>
          </w:p>
        </w:tc>
        <w:tc>
          <w:tcPr>
            <w:tcW w:w="423" w:type="pct"/>
            <w:vAlign w:val="center"/>
          </w:tcPr>
          <w:p w14:paraId="433CA224">
            <w:pPr>
              <w:spacing w:line="360" w:lineRule="auto"/>
              <w:rPr>
                <w:rFonts w:ascii="Times New Roman" w:hAnsi="Times New Roman" w:eastAsia="宋体" w:cs="Times New Roman"/>
                <w:szCs w:val="18"/>
              </w:rPr>
            </w:pPr>
            <w:r>
              <w:rPr>
                <w:rFonts w:ascii="Times New Roman" w:hAnsi="Times New Roman" w:eastAsia="宋体" w:cs="Times New Roman"/>
                <w:szCs w:val="18"/>
              </w:rPr>
              <w:t>3.17</w:t>
            </w:r>
          </w:p>
        </w:tc>
      </w:tr>
      <w:tr w14:paraId="2CD61248">
        <w:tblPrEx>
          <w:tblCellMar>
            <w:top w:w="0" w:type="dxa"/>
            <w:left w:w="108" w:type="dxa"/>
            <w:bottom w:w="0" w:type="dxa"/>
            <w:right w:w="108" w:type="dxa"/>
          </w:tblCellMar>
        </w:tblPrEx>
        <w:trPr>
          <w:jc w:val="center"/>
        </w:trPr>
        <w:tc>
          <w:tcPr>
            <w:tcW w:w="391" w:type="pct"/>
          </w:tcPr>
          <w:p w14:paraId="51F77534">
            <w:pPr>
              <w:spacing w:line="360" w:lineRule="auto"/>
              <w:rPr>
                <w:rFonts w:ascii="Times New Roman" w:hAnsi="Times New Roman" w:eastAsia="宋体" w:cs="Times New Roman"/>
                <w:szCs w:val="18"/>
              </w:rPr>
            </w:pPr>
            <w:r>
              <w:rPr>
                <w:rFonts w:ascii="Times New Roman" w:hAnsi="Times New Roman" w:eastAsia="宋体" w:cs="Times New Roman"/>
                <w:szCs w:val="18"/>
              </w:rPr>
              <w:t>16</w:t>
            </w:r>
          </w:p>
        </w:tc>
        <w:tc>
          <w:tcPr>
            <w:tcW w:w="380" w:type="pct"/>
          </w:tcPr>
          <w:p w14:paraId="5968CAF2">
            <w:pPr>
              <w:spacing w:line="360" w:lineRule="auto"/>
              <w:rPr>
                <w:rFonts w:ascii="Times New Roman" w:hAnsi="Times New Roman" w:eastAsia="宋体" w:cs="Times New Roman"/>
                <w:szCs w:val="18"/>
              </w:rPr>
            </w:pPr>
            <w:r>
              <w:rPr>
                <w:rFonts w:ascii="Times New Roman" w:hAnsi="Times New Roman" w:eastAsia="宋体" w:cs="Times New Roman"/>
                <w:szCs w:val="18"/>
              </w:rPr>
              <w:t>W16</w:t>
            </w:r>
          </w:p>
        </w:tc>
        <w:tc>
          <w:tcPr>
            <w:tcW w:w="539" w:type="pct"/>
            <w:vAlign w:val="bottom"/>
          </w:tcPr>
          <w:p w14:paraId="64580CC5">
            <w:pPr>
              <w:spacing w:line="360" w:lineRule="auto"/>
              <w:rPr>
                <w:rFonts w:ascii="Times New Roman" w:hAnsi="Times New Roman" w:eastAsia="宋体" w:cs="Times New Roman"/>
                <w:szCs w:val="18"/>
              </w:rPr>
            </w:pPr>
            <w:r>
              <w:rPr>
                <w:rFonts w:ascii="Times New Roman" w:hAnsi="Times New Roman" w:eastAsia="宋体" w:cs="Times New Roman"/>
                <w:szCs w:val="18"/>
              </w:rPr>
              <w:t>-12.55</w:t>
            </w:r>
          </w:p>
        </w:tc>
        <w:tc>
          <w:tcPr>
            <w:tcW w:w="438" w:type="pct"/>
            <w:vAlign w:val="bottom"/>
          </w:tcPr>
          <w:p w14:paraId="0F4970DF">
            <w:pPr>
              <w:spacing w:line="360" w:lineRule="auto"/>
              <w:rPr>
                <w:rFonts w:ascii="Times New Roman" w:hAnsi="Times New Roman" w:eastAsia="宋体" w:cs="Times New Roman"/>
                <w:szCs w:val="18"/>
              </w:rPr>
            </w:pPr>
            <w:r>
              <w:rPr>
                <w:rFonts w:ascii="Times New Roman" w:hAnsi="Times New Roman" w:eastAsia="宋体" w:cs="Times New Roman"/>
                <w:szCs w:val="18"/>
              </w:rPr>
              <w:t>5.22</w:t>
            </w:r>
          </w:p>
        </w:tc>
        <w:tc>
          <w:tcPr>
            <w:tcW w:w="472" w:type="pct"/>
            <w:vAlign w:val="bottom"/>
          </w:tcPr>
          <w:p w14:paraId="0533073E">
            <w:pPr>
              <w:spacing w:line="360" w:lineRule="auto"/>
              <w:rPr>
                <w:rFonts w:ascii="Times New Roman" w:hAnsi="Times New Roman" w:eastAsia="宋体" w:cs="Times New Roman"/>
                <w:szCs w:val="18"/>
              </w:rPr>
            </w:pPr>
            <w:r>
              <w:rPr>
                <w:rFonts w:ascii="Times New Roman" w:hAnsi="Times New Roman" w:eastAsia="宋体" w:cs="Times New Roman"/>
                <w:szCs w:val="18"/>
              </w:rPr>
              <w:t>-0.65</w:t>
            </w:r>
          </w:p>
        </w:tc>
        <w:tc>
          <w:tcPr>
            <w:tcW w:w="482" w:type="pct"/>
            <w:vAlign w:val="bottom"/>
          </w:tcPr>
          <w:p w14:paraId="5D8C41BB">
            <w:pPr>
              <w:spacing w:line="360" w:lineRule="auto"/>
              <w:rPr>
                <w:rFonts w:ascii="Times New Roman" w:hAnsi="Times New Roman" w:eastAsia="宋体" w:cs="Times New Roman"/>
                <w:szCs w:val="18"/>
              </w:rPr>
            </w:pPr>
            <w:r>
              <w:rPr>
                <w:rFonts w:ascii="Times New Roman" w:hAnsi="Times New Roman" w:eastAsia="宋体" w:cs="Times New Roman"/>
                <w:szCs w:val="18"/>
              </w:rPr>
              <w:t>0.28</w:t>
            </w:r>
          </w:p>
        </w:tc>
        <w:tc>
          <w:tcPr>
            <w:tcW w:w="438" w:type="pct"/>
            <w:vAlign w:val="bottom"/>
          </w:tcPr>
          <w:p w14:paraId="1032D446">
            <w:pPr>
              <w:spacing w:line="360" w:lineRule="auto"/>
              <w:rPr>
                <w:rFonts w:ascii="Times New Roman" w:hAnsi="Times New Roman" w:eastAsia="宋体" w:cs="Times New Roman"/>
                <w:szCs w:val="18"/>
              </w:rPr>
            </w:pPr>
            <w:r>
              <w:rPr>
                <w:rFonts w:ascii="Times New Roman" w:hAnsi="Times New Roman" w:eastAsia="宋体" w:cs="Times New Roman"/>
                <w:szCs w:val="18"/>
              </w:rPr>
              <w:t>1.52</w:t>
            </w:r>
          </w:p>
        </w:tc>
        <w:tc>
          <w:tcPr>
            <w:tcW w:w="383" w:type="pct"/>
            <w:vAlign w:val="bottom"/>
          </w:tcPr>
          <w:p w14:paraId="6F91C3BB">
            <w:pPr>
              <w:spacing w:line="360" w:lineRule="auto"/>
              <w:rPr>
                <w:rFonts w:ascii="Times New Roman" w:hAnsi="Times New Roman" w:eastAsia="宋体" w:cs="Times New Roman"/>
                <w:szCs w:val="18"/>
              </w:rPr>
            </w:pPr>
            <w:r>
              <w:rPr>
                <w:rFonts w:ascii="Times New Roman" w:hAnsi="Times New Roman" w:eastAsia="宋体" w:cs="Times New Roman"/>
                <w:szCs w:val="18"/>
              </w:rPr>
              <w:t>5.41</w:t>
            </w:r>
          </w:p>
        </w:tc>
        <w:tc>
          <w:tcPr>
            <w:tcW w:w="521" w:type="pct"/>
            <w:vAlign w:val="bottom"/>
          </w:tcPr>
          <w:p w14:paraId="2718FBC3">
            <w:pPr>
              <w:spacing w:line="360" w:lineRule="auto"/>
              <w:rPr>
                <w:rFonts w:ascii="Times New Roman" w:hAnsi="Times New Roman" w:eastAsia="宋体" w:cs="Times New Roman"/>
                <w:szCs w:val="18"/>
              </w:rPr>
            </w:pPr>
            <w:r>
              <w:rPr>
                <w:rFonts w:ascii="Times New Roman" w:hAnsi="Times New Roman" w:eastAsia="宋体" w:cs="Times New Roman"/>
                <w:szCs w:val="18"/>
              </w:rPr>
              <w:t>-0.41</w:t>
            </w:r>
          </w:p>
        </w:tc>
        <w:tc>
          <w:tcPr>
            <w:tcW w:w="529" w:type="pct"/>
            <w:vAlign w:val="bottom"/>
          </w:tcPr>
          <w:p w14:paraId="7843012E">
            <w:pPr>
              <w:spacing w:line="360" w:lineRule="auto"/>
              <w:rPr>
                <w:rFonts w:ascii="Times New Roman" w:hAnsi="Times New Roman" w:eastAsia="宋体" w:cs="Times New Roman"/>
                <w:szCs w:val="18"/>
              </w:rPr>
            </w:pPr>
            <w:r>
              <w:rPr>
                <w:rFonts w:ascii="Times New Roman" w:hAnsi="Times New Roman" w:eastAsia="宋体" w:cs="Times New Roman"/>
                <w:szCs w:val="18"/>
              </w:rPr>
              <w:t>3.06</w:t>
            </w:r>
          </w:p>
        </w:tc>
        <w:tc>
          <w:tcPr>
            <w:tcW w:w="423" w:type="pct"/>
            <w:vAlign w:val="bottom"/>
          </w:tcPr>
          <w:p w14:paraId="1929443A">
            <w:pPr>
              <w:spacing w:line="360" w:lineRule="auto"/>
              <w:rPr>
                <w:rFonts w:ascii="Times New Roman" w:hAnsi="Times New Roman" w:eastAsia="宋体" w:cs="Times New Roman"/>
                <w:szCs w:val="18"/>
              </w:rPr>
            </w:pPr>
            <w:r>
              <w:rPr>
                <w:rFonts w:ascii="Times New Roman" w:hAnsi="Times New Roman" w:eastAsia="宋体" w:cs="Times New Roman"/>
                <w:szCs w:val="18"/>
              </w:rPr>
              <w:t>3.19</w:t>
            </w:r>
          </w:p>
        </w:tc>
      </w:tr>
      <w:tr w14:paraId="2C7F7CD3">
        <w:tblPrEx>
          <w:tblCellMar>
            <w:top w:w="0" w:type="dxa"/>
            <w:left w:w="108" w:type="dxa"/>
            <w:bottom w:w="0" w:type="dxa"/>
            <w:right w:w="108" w:type="dxa"/>
          </w:tblCellMar>
        </w:tblPrEx>
        <w:trPr>
          <w:jc w:val="center"/>
        </w:trPr>
        <w:tc>
          <w:tcPr>
            <w:tcW w:w="391" w:type="pct"/>
          </w:tcPr>
          <w:p w14:paraId="0C004C5D">
            <w:pPr>
              <w:spacing w:line="360" w:lineRule="auto"/>
              <w:rPr>
                <w:rFonts w:ascii="Times New Roman" w:hAnsi="Times New Roman" w:eastAsia="宋体" w:cs="Times New Roman"/>
                <w:szCs w:val="18"/>
              </w:rPr>
            </w:pPr>
            <w:r>
              <w:rPr>
                <w:rFonts w:ascii="Times New Roman" w:hAnsi="Times New Roman" w:eastAsia="宋体" w:cs="Times New Roman"/>
                <w:szCs w:val="18"/>
              </w:rPr>
              <w:t>17</w:t>
            </w:r>
          </w:p>
        </w:tc>
        <w:tc>
          <w:tcPr>
            <w:tcW w:w="380" w:type="pct"/>
          </w:tcPr>
          <w:p w14:paraId="6D66952C">
            <w:pPr>
              <w:spacing w:line="360" w:lineRule="auto"/>
              <w:rPr>
                <w:rFonts w:ascii="Times New Roman" w:hAnsi="Times New Roman" w:eastAsia="宋体" w:cs="Times New Roman"/>
                <w:szCs w:val="18"/>
              </w:rPr>
            </w:pPr>
            <w:r>
              <w:rPr>
                <w:rFonts w:ascii="Times New Roman" w:hAnsi="Times New Roman" w:eastAsia="宋体" w:cs="Times New Roman"/>
                <w:szCs w:val="18"/>
              </w:rPr>
              <w:t>W17</w:t>
            </w:r>
          </w:p>
        </w:tc>
        <w:tc>
          <w:tcPr>
            <w:tcW w:w="539" w:type="pct"/>
            <w:vAlign w:val="bottom"/>
          </w:tcPr>
          <w:p w14:paraId="2EC71AA1">
            <w:pPr>
              <w:spacing w:line="360" w:lineRule="auto"/>
              <w:rPr>
                <w:rFonts w:ascii="Times New Roman" w:hAnsi="Times New Roman" w:eastAsia="宋体" w:cs="Times New Roman"/>
                <w:szCs w:val="18"/>
              </w:rPr>
            </w:pPr>
            <w:r>
              <w:rPr>
                <w:rFonts w:ascii="Times New Roman" w:hAnsi="Times New Roman" w:eastAsia="宋体" w:cs="Times New Roman"/>
                <w:szCs w:val="18"/>
              </w:rPr>
              <w:t>-15.01</w:t>
            </w:r>
          </w:p>
        </w:tc>
        <w:tc>
          <w:tcPr>
            <w:tcW w:w="438" w:type="pct"/>
            <w:vAlign w:val="bottom"/>
          </w:tcPr>
          <w:p w14:paraId="01D69C04">
            <w:pPr>
              <w:spacing w:line="360" w:lineRule="auto"/>
              <w:rPr>
                <w:rFonts w:ascii="Times New Roman" w:hAnsi="Times New Roman" w:eastAsia="宋体" w:cs="Times New Roman"/>
                <w:szCs w:val="18"/>
              </w:rPr>
            </w:pPr>
            <w:r>
              <w:rPr>
                <w:rFonts w:ascii="Times New Roman" w:hAnsi="Times New Roman" w:eastAsia="宋体" w:cs="Times New Roman"/>
                <w:szCs w:val="18"/>
              </w:rPr>
              <w:t>5.42</w:t>
            </w:r>
          </w:p>
        </w:tc>
        <w:tc>
          <w:tcPr>
            <w:tcW w:w="472" w:type="pct"/>
            <w:vAlign w:val="bottom"/>
          </w:tcPr>
          <w:p w14:paraId="716B9D9D">
            <w:pPr>
              <w:spacing w:line="360" w:lineRule="auto"/>
              <w:rPr>
                <w:rFonts w:ascii="Times New Roman" w:hAnsi="Times New Roman" w:eastAsia="宋体" w:cs="Times New Roman"/>
                <w:szCs w:val="18"/>
              </w:rPr>
            </w:pPr>
            <w:r>
              <w:rPr>
                <w:rFonts w:ascii="Times New Roman" w:hAnsi="Times New Roman" w:eastAsia="宋体" w:cs="Times New Roman"/>
                <w:szCs w:val="18"/>
              </w:rPr>
              <w:t>-0.16</w:t>
            </w:r>
          </w:p>
        </w:tc>
        <w:tc>
          <w:tcPr>
            <w:tcW w:w="482" w:type="pct"/>
            <w:vAlign w:val="bottom"/>
          </w:tcPr>
          <w:p w14:paraId="299B86A8">
            <w:pPr>
              <w:spacing w:line="360" w:lineRule="auto"/>
              <w:rPr>
                <w:rFonts w:ascii="Times New Roman" w:hAnsi="Times New Roman" w:eastAsia="宋体" w:cs="Times New Roman"/>
                <w:szCs w:val="18"/>
              </w:rPr>
            </w:pPr>
            <w:r>
              <w:rPr>
                <w:rFonts w:ascii="Times New Roman" w:hAnsi="Times New Roman" w:eastAsia="宋体" w:cs="Times New Roman"/>
                <w:szCs w:val="18"/>
              </w:rPr>
              <w:t>0.66</w:t>
            </w:r>
          </w:p>
        </w:tc>
        <w:tc>
          <w:tcPr>
            <w:tcW w:w="438" w:type="pct"/>
            <w:vAlign w:val="bottom"/>
          </w:tcPr>
          <w:p w14:paraId="51448D45">
            <w:pPr>
              <w:spacing w:line="360" w:lineRule="auto"/>
              <w:rPr>
                <w:rFonts w:ascii="Times New Roman" w:hAnsi="Times New Roman" w:eastAsia="宋体" w:cs="Times New Roman"/>
                <w:szCs w:val="18"/>
              </w:rPr>
            </w:pPr>
            <w:r>
              <w:rPr>
                <w:rFonts w:ascii="Times New Roman" w:hAnsi="Times New Roman" w:eastAsia="宋体" w:cs="Times New Roman"/>
                <w:szCs w:val="18"/>
              </w:rPr>
              <w:t>1.53</w:t>
            </w:r>
          </w:p>
        </w:tc>
        <w:tc>
          <w:tcPr>
            <w:tcW w:w="383" w:type="pct"/>
            <w:vAlign w:val="bottom"/>
          </w:tcPr>
          <w:p w14:paraId="326094B5">
            <w:pPr>
              <w:spacing w:line="360" w:lineRule="auto"/>
              <w:rPr>
                <w:rFonts w:ascii="Times New Roman" w:hAnsi="Times New Roman" w:eastAsia="宋体" w:cs="Times New Roman"/>
                <w:szCs w:val="18"/>
              </w:rPr>
            </w:pPr>
            <w:r>
              <w:rPr>
                <w:rFonts w:ascii="Times New Roman" w:hAnsi="Times New Roman" w:eastAsia="宋体" w:cs="Times New Roman"/>
                <w:szCs w:val="18"/>
              </w:rPr>
              <w:t>5.51</w:t>
            </w:r>
          </w:p>
        </w:tc>
        <w:tc>
          <w:tcPr>
            <w:tcW w:w="521" w:type="pct"/>
            <w:vAlign w:val="bottom"/>
          </w:tcPr>
          <w:p w14:paraId="6AA7A80F">
            <w:pPr>
              <w:spacing w:line="360" w:lineRule="auto"/>
              <w:rPr>
                <w:rFonts w:ascii="Times New Roman" w:hAnsi="Times New Roman" w:eastAsia="宋体" w:cs="Times New Roman"/>
                <w:szCs w:val="18"/>
              </w:rPr>
            </w:pPr>
            <w:r>
              <w:rPr>
                <w:rFonts w:ascii="Times New Roman" w:hAnsi="Times New Roman" w:eastAsia="宋体" w:cs="Times New Roman"/>
                <w:szCs w:val="18"/>
              </w:rPr>
              <w:t>-0.42</w:t>
            </w:r>
          </w:p>
        </w:tc>
        <w:tc>
          <w:tcPr>
            <w:tcW w:w="529" w:type="pct"/>
            <w:vAlign w:val="bottom"/>
          </w:tcPr>
          <w:p w14:paraId="38B48193">
            <w:pPr>
              <w:spacing w:line="360" w:lineRule="auto"/>
              <w:rPr>
                <w:rFonts w:ascii="Times New Roman" w:hAnsi="Times New Roman" w:eastAsia="宋体" w:cs="Times New Roman"/>
                <w:szCs w:val="18"/>
              </w:rPr>
            </w:pPr>
            <w:r>
              <w:rPr>
                <w:rFonts w:ascii="Times New Roman" w:hAnsi="Times New Roman" w:eastAsia="宋体" w:cs="Times New Roman"/>
                <w:szCs w:val="18"/>
              </w:rPr>
              <w:t>3.01</w:t>
            </w:r>
          </w:p>
        </w:tc>
        <w:tc>
          <w:tcPr>
            <w:tcW w:w="423" w:type="pct"/>
            <w:vAlign w:val="bottom"/>
          </w:tcPr>
          <w:p w14:paraId="43F0C02D">
            <w:pPr>
              <w:spacing w:line="360" w:lineRule="auto"/>
              <w:rPr>
                <w:rFonts w:ascii="Times New Roman" w:hAnsi="Times New Roman" w:eastAsia="宋体" w:cs="Times New Roman"/>
                <w:szCs w:val="18"/>
              </w:rPr>
            </w:pPr>
            <w:r>
              <w:rPr>
                <w:rFonts w:ascii="Times New Roman" w:hAnsi="Times New Roman" w:eastAsia="宋体" w:cs="Times New Roman"/>
                <w:szCs w:val="18"/>
              </w:rPr>
              <w:t>3.15</w:t>
            </w:r>
          </w:p>
        </w:tc>
      </w:tr>
      <w:tr w14:paraId="0B219FD6">
        <w:tblPrEx>
          <w:tblCellMar>
            <w:top w:w="0" w:type="dxa"/>
            <w:left w:w="108" w:type="dxa"/>
            <w:bottom w:w="0" w:type="dxa"/>
            <w:right w:w="108" w:type="dxa"/>
          </w:tblCellMar>
        </w:tblPrEx>
        <w:trPr>
          <w:jc w:val="center"/>
        </w:trPr>
        <w:tc>
          <w:tcPr>
            <w:tcW w:w="391" w:type="pct"/>
          </w:tcPr>
          <w:p w14:paraId="5DC03129">
            <w:pPr>
              <w:spacing w:line="360" w:lineRule="auto"/>
              <w:rPr>
                <w:rFonts w:ascii="Times New Roman" w:hAnsi="Times New Roman" w:eastAsia="宋体" w:cs="Times New Roman"/>
                <w:szCs w:val="18"/>
              </w:rPr>
            </w:pPr>
            <w:r>
              <w:rPr>
                <w:rFonts w:ascii="Times New Roman" w:hAnsi="Times New Roman" w:eastAsia="宋体" w:cs="Times New Roman"/>
                <w:szCs w:val="18"/>
              </w:rPr>
              <w:t>18</w:t>
            </w:r>
          </w:p>
        </w:tc>
        <w:tc>
          <w:tcPr>
            <w:tcW w:w="380" w:type="pct"/>
          </w:tcPr>
          <w:p w14:paraId="6865E5D5">
            <w:pPr>
              <w:spacing w:line="360" w:lineRule="auto"/>
              <w:rPr>
                <w:rFonts w:ascii="Times New Roman" w:hAnsi="Times New Roman" w:eastAsia="宋体" w:cs="Times New Roman"/>
                <w:szCs w:val="18"/>
              </w:rPr>
            </w:pPr>
            <w:r>
              <w:rPr>
                <w:rFonts w:ascii="Times New Roman" w:hAnsi="Times New Roman" w:eastAsia="宋体" w:cs="Times New Roman"/>
                <w:szCs w:val="18"/>
              </w:rPr>
              <w:t>W18</w:t>
            </w:r>
          </w:p>
        </w:tc>
        <w:tc>
          <w:tcPr>
            <w:tcW w:w="539" w:type="pct"/>
            <w:vAlign w:val="bottom"/>
          </w:tcPr>
          <w:p w14:paraId="0FBA4E31">
            <w:pPr>
              <w:spacing w:line="360" w:lineRule="auto"/>
              <w:rPr>
                <w:rFonts w:ascii="Times New Roman" w:hAnsi="Times New Roman" w:eastAsia="宋体" w:cs="Times New Roman"/>
                <w:szCs w:val="18"/>
              </w:rPr>
            </w:pPr>
            <w:r>
              <w:rPr>
                <w:rFonts w:ascii="Times New Roman" w:hAnsi="Times New Roman" w:eastAsia="宋体" w:cs="Times New Roman"/>
                <w:szCs w:val="18"/>
              </w:rPr>
              <w:t>-16.16</w:t>
            </w:r>
          </w:p>
        </w:tc>
        <w:tc>
          <w:tcPr>
            <w:tcW w:w="438" w:type="pct"/>
            <w:vAlign w:val="bottom"/>
          </w:tcPr>
          <w:p w14:paraId="6F347B47">
            <w:pPr>
              <w:spacing w:line="360" w:lineRule="auto"/>
              <w:rPr>
                <w:rFonts w:ascii="Times New Roman" w:hAnsi="Times New Roman" w:eastAsia="宋体" w:cs="Times New Roman"/>
                <w:szCs w:val="18"/>
              </w:rPr>
            </w:pPr>
            <w:r>
              <w:rPr>
                <w:rFonts w:ascii="Times New Roman" w:hAnsi="Times New Roman" w:eastAsia="宋体" w:cs="Times New Roman"/>
                <w:szCs w:val="18"/>
              </w:rPr>
              <w:t>4.51</w:t>
            </w:r>
          </w:p>
        </w:tc>
        <w:tc>
          <w:tcPr>
            <w:tcW w:w="472" w:type="pct"/>
            <w:vAlign w:val="bottom"/>
          </w:tcPr>
          <w:p w14:paraId="61355922">
            <w:pPr>
              <w:spacing w:line="360" w:lineRule="auto"/>
              <w:rPr>
                <w:rFonts w:ascii="Times New Roman" w:hAnsi="Times New Roman" w:eastAsia="宋体" w:cs="Times New Roman"/>
                <w:szCs w:val="18"/>
              </w:rPr>
            </w:pPr>
            <w:r>
              <w:rPr>
                <w:rFonts w:ascii="Times New Roman" w:hAnsi="Times New Roman" w:eastAsia="宋体" w:cs="Times New Roman"/>
                <w:szCs w:val="18"/>
              </w:rPr>
              <w:t>-0.55</w:t>
            </w:r>
          </w:p>
        </w:tc>
        <w:tc>
          <w:tcPr>
            <w:tcW w:w="482" w:type="pct"/>
            <w:vAlign w:val="bottom"/>
          </w:tcPr>
          <w:p w14:paraId="273ACDBE">
            <w:pPr>
              <w:spacing w:line="360" w:lineRule="auto"/>
              <w:rPr>
                <w:rFonts w:ascii="Times New Roman" w:hAnsi="Times New Roman" w:eastAsia="宋体" w:cs="Times New Roman"/>
                <w:szCs w:val="18"/>
              </w:rPr>
            </w:pPr>
            <w:r>
              <w:rPr>
                <w:rFonts w:ascii="Times New Roman" w:hAnsi="Times New Roman" w:eastAsia="宋体" w:cs="Times New Roman"/>
                <w:szCs w:val="18"/>
              </w:rPr>
              <w:t>0.68</w:t>
            </w:r>
          </w:p>
        </w:tc>
        <w:tc>
          <w:tcPr>
            <w:tcW w:w="438" w:type="pct"/>
            <w:vAlign w:val="bottom"/>
          </w:tcPr>
          <w:p w14:paraId="5949635E">
            <w:pPr>
              <w:spacing w:line="360" w:lineRule="auto"/>
              <w:rPr>
                <w:rFonts w:ascii="Times New Roman" w:hAnsi="Times New Roman" w:eastAsia="宋体" w:cs="Times New Roman"/>
                <w:szCs w:val="18"/>
              </w:rPr>
            </w:pPr>
            <w:r>
              <w:rPr>
                <w:rFonts w:ascii="Times New Roman" w:hAnsi="Times New Roman" w:eastAsia="宋体" w:cs="Times New Roman"/>
                <w:szCs w:val="18"/>
              </w:rPr>
              <w:t>1.01</w:t>
            </w:r>
          </w:p>
        </w:tc>
        <w:tc>
          <w:tcPr>
            <w:tcW w:w="383" w:type="pct"/>
            <w:vAlign w:val="bottom"/>
          </w:tcPr>
          <w:p w14:paraId="50039682">
            <w:pPr>
              <w:spacing w:line="360" w:lineRule="auto"/>
              <w:rPr>
                <w:rFonts w:ascii="Times New Roman" w:hAnsi="Times New Roman" w:eastAsia="宋体" w:cs="Times New Roman"/>
                <w:szCs w:val="18"/>
              </w:rPr>
            </w:pPr>
            <w:r>
              <w:rPr>
                <w:rFonts w:ascii="Times New Roman" w:hAnsi="Times New Roman" w:eastAsia="宋体" w:cs="Times New Roman"/>
                <w:szCs w:val="18"/>
              </w:rPr>
              <w:t>5.50</w:t>
            </w:r>
          </w:p>
        </w:tc>
        <w:tc>
          <w:tcPr>
            <w:tcW w:w="521" w:type="pct"/>
            <w:vAlign w:val="bottom"/>
          </w:tcPr>
          <w:p w14:paraId="091ADED1">
            <w:pPr>
              <w:spacing w:line="360" w:lineRule="auto"/>
              <w:rPr>
                <w:rFonts w:ascii="Times New Roman" w:hAnsi="Times New Roman" w:eastAsia="宋体" w:cs="Times New Roman"/>
                <w:szCs w:val="18"/>
              </w:rPr>
            </w:pPr>
            <w:r>
              <w:rPr>
                <w:rFonts w:ascii="Times New Roman" w:hAnsi="Times New Roman" w:eastAsia="宋体" w:cs="Times New Roman"/>
                <w:szCs w:val="18"/>
              </w:rPr>
              <w:t>-0.39</w:t>
            </w:r>
          </w:p>
        </w:tc>
        <w:tc>
          <w:tcPr>
            <w:tcW w:w="529" w:type="pct"/>
            <w:vAlign w:val="bottom"/>
          </w:tcPr>
          <w:p w14:paraId="1A75213B">
            <w:pPr>
              <w:spacing w:line="360" w:lineRule="auto"/>
              <w:rPr>
                <w:rFonts w:ascii="Times New Roman" w:hAnsi="Times New Roman" w:eastAsia="宋体" w:cs="Times New Roman"/>
                <w:szCs w:val="18"/>
              </w:rPr>
            </w:pPr>
            <w:r>
              <w:rPr>
                <w:rFonts w:ascii="Times New Roman" w:hAnsi="Times New Roman" w:eastAsia="宋体" w:cs="Times New Roman"/>
                <w:szCs w:val="18"/>
              </w:rPr>
              <w:t>2.99</w:t>
            </w:r>
          </w:p>
        </w:tc>
        <w:tc>
          <w:tcPr>
            <w:tcW w:w="423" w:type="pct"/>
            <w:vAlign w:val="bottom"/>
          </w:tcPr>
          <w:p w14:paraId="582B100D">
            <w:pPr>
              <w:spacing w:line="360" w:lineRule="auto"/>
              <w:rPr>
                <w:rFonts w:ascii="Times New Roman" w:hAnsi="Times New Roman" w:eastAsia="宋体" w:cs="Times New Roman"/>
                <w:szCs w:val="18"/>
              </w:rPr>
            </w:pPr>
            <w:r>
              <w:rPr>
                <w:rFonts w:ascii="Times New Roman" w:hAnsi="Times New Roman" w:eastAsia="宋体" w:cs="Times New Roman"/>
                <w:szCs w:val="18"/>
              </w:rPr>
              <w:t>3.55</w:t>
            </w:r>
          </w:p>
        </w:tc>
      </w:tr>
      <w:tr w14:paraId="46F8B209">
        <w:tblPrEx>
          <w:tblCellMar>
            <w:top w:w="0" w:type="dxa"/>
            <w:left w:w="108" w:type="dxa"/>
            <w:bottom w:w="0" w:type="dxa"/>
            <w:right w:w="108" w:type="dxa"/>
          </w:tblCellMar>
        </w:tblPrEx>
        <w:trPr>
          <w:jc w:val="center"/>
        </w:trPr>
        <w:tc>
          <w:tcPr>
            <w:tcW w:w="391" w:type="pct"/>
          </w:tcPr>
          <w:p w14:paraId="3127DF11">
            <w:pPr>
              <w:spacing w:line="360" w:lineRule="auto"/>
              <w:rPr>
                <w:rFonts w:ascii="Times New Roman" w:hAnsi="Times New Roman" w:eastAsia="宋体" w:cs="Times New Roman"/>
                <w:szCs w:val="18"/>
              </w:rPr>
            </w:pPr>
            <w:r>
              <w:rPr>
                <w:rFonts w:ascii="Times New Roman" w:hAnsi="Times New Roman" w:eastAsia="宋体" w:cs="Times New Roman"/>
                <w:szCs w:val="18"/>
              </w:rPr>
              <w:t>19</w:t>
            </w:r>
          </w:p>
        </w:tc>
        <w:tc>
          <w:tcPr>
            <w:tcW w:w="380" w:type="pct"/>
          </w:tcPr>
          <w:p w14:paraId="6E61974D">
            <w:pPr>
              <w:spacing w:line="360" w:lineRule="auto"/>
              <w:rPr>
                <w:rFonts w:ascii="Times New Roman" w:hAnsi="Times New Roman" w:eastAsia="宋体" w:cs="Times New Roman"/>
                <w:szCs w:val="18"/>
              </w:rPr>
            </w:pPr>
            <w:r>
              <w:rPr>
                <w:rFonts w:ascii="Times New Roman" w:hAnsi="Times New Roman" w:eastAsia="宋体" w:cs="Times New Roman"/>
                <w:szCs w:val="18"/>
              </w:rPr>
              <w:t>W19</w:t>
            </w:r>
          </w:p>
        </w:tc>
        <w:tc>
          <w:tcPr>
            <w:tcW w:w="539" w:type="pct"/>
            <w:vAlign w:val="bottom"/>
          </w:tcPr>
          <w:p w14:paraId="494847E1">
            <w:pPr>
              <w:spacing w:line="360" w:lineRule="auto"/>
              <w:rPr>
                <w:rFonts w:ascii="Times New Roman" w:hAnsi="Times New Roman" w:eastAsia="宋体" w:cs="Times New Roman"/>
                <w:szCs w:val="18"/>
              </w:rPr>
            </w:pPr>
            <w:r>
              <w:rPr>
                <w:rFonts w:ascii="Times New Roman" w:hAnsi="Times New Roman" w:eastAsia="宋体" w:cs="Times New Roman"/>
                <w:szCs w:val="18"/>
              </w:rPr>
              <w:t>-13.56</w:t>
            </w:r>
          </w:p>
        </w:tc>
        <w:tc>
          <w:tcPr>
            <w:tcW w:w="438" w:type="pct"/>
            <w:vAlign w:val="bottom"/>
          </w:tcPr>
          <w:p w14:paraId="33F47534">
            <w:pPr>
              <w:spacing w:line="360" w:lineRule="auto"/>
              <w:rPr>
                <w:rFonts w:ascii="Times New Roman" w:hAnsi="Times New Roman" w:eastAsia="宋体" w:cs="Times New Roman"/>
                <w:szCs w:val="18"/>
              </w:rPr>
            </w:pPr>
            <w:r>
              <w:rPr>
                <w:rFonts w:ascii="Times New Roman" w:hAnsi="Times New Roman" w:eastAsia="宋体" w:cs="Times New Roman"/>
                <w:szCs w:val="18"/>
              </w:rPr>
              <w:t>4.55</w:t>
            </w:r>
          </w:p>
        </w:tc>
        <w:tc>
          <w:tcPr>
            <w:tcW w:w="472" w:type="pct"/>
            <w:vAlign w:val="bottom"/>
          </w:tcPr>
          <w:p w14:paraId="7BDF8D2E">
            <w:pPr>
              <w:spacing w:line="360" w:lineRule="auto"/>
              <w:rPr>
                <w:rFonts w:ascii="Times New Roman" w:hAnsi="Times New Roman" w:eastAsia="宋体" w:cs="Times New Roman"/>
                <w:szCs w:val="18"/>
              </w:rPr>
            </w:pPr>
            <w:r>
              <w:rPr>
                <w:rFonts w:ascii="Times New Roman" w:hAnsi="Times New Roman" w:eastAsia="宋体" w:cs="Times New Roman"/>
                <w:szCs w:val="18"/>
              </w:rPr>
              <w:t>-0.51</w:t>
            </w:r>
          </w:p>
        </w:tc>
        <w:tc>
          <w:tcPr>
            <w:tcW w:w="482" w:type="pct"/>
            <w:vAlign w:val="bottom"/>
          </w:tcPr>
          <w:p w14:paraId="23D5B4F8">
            <w:pPr>
              <w:spacing w:line="360" w:lineRule="auto"/>
              <w:rPr>
                <w:rFonts w:ascii="Times New Roman" w:hAnsi="Times New Roman" w:eastAsia="宋体" w:cs="Times New Roman"/>
                <w:szCs w:val="18"/>
              </w:rPr>
            </w:pPr>
            <w:r>
              <w:rPr>
                <w:rFonts w:ascii="Times New Roman" w:hAnsi="Times New Roman" w:eastAsia="宋体" w:cs="Times New Roman"/>
                <w:szCs w:val="18"/>
              </w:rPr>
              <w:t>0.45</w:t>
            </w:r>
          </w:p>
        </w:tc>
        <w:tc>
          <w:tcPr>
            <w:tcW w:w="438" w:type="pct"/>
            <w:vAlign w:val="bottom"/>
          </w:tcPr>
          <w:p w14:paraId="37B584ED">
            <w:pPr>
              <w:spacing w:line="360" w:lineRule="auto"/>
              <w:rPr>
                <w:rFonts w:ascii="Times New Roman" w:hAnsi="Times New Roman" w:eastAsia="宋体" w:cs="Times New Roman"/>
                <w:szCs w:val="18"/>
              </w:rPr>
            </w:pPr>
            <w:r>
              <w:rPr>
                <w:rFonts w:ascii="Times New Roman" w:hAnsi="Times New Roman" w:eastAsia="宋体" w:cs="Times New Roman"/>
                <w:szCs w:val="18"/>
              </w:rPr>
              <w:t>1.11</w:t>
            </w:r>
          </w:p>
        </w:tc>
        <w:tc>
          <w:tcPr>
            <w:tcW w:w="383" w:type="pct"/>
            <w:vAlign w:val="bottom"/>
          </w:tcPr>
          <w:p w14:paraId="7C51B18F">
            <w:pPr>
              <w:spacing w:line="360" w:lineRule="auto"/>
              <w:rPr>
                <w:rFonts w:ascii="Times New Roman" w:hAnsi="Times New Roman" w:eastAsia="宋体" w:cs="Times New Roman"/>
                <w:szCs w:val="18"/>
              </w:rPr>
            </w:pPr>
            <w:r>
              <w:rPr>
                <w:rFonts w:ascii="Times New Roman" w:hAnsi="Times New Roman" w:eastAsia="宋体" w:cs="Times New Roman"/>
                <w:szCs w:val="18"/>
              </w:rPr>
              <w:t>5.21</w:t>
            </w:r>
          </w:p>
        </w:tc>
        <w:tc>
          <w:tcPr>
            <w:tcW w:w="521" w:type="pct"/>
            <w:vAlign w:val="bottom"/>
          </w:tcPr>
          <w:p w14:paraId="4822372C">
            <w:pPr>
              <w:spacing w:line="360" w:lineRule="auto"/>
              <w:rPr>
                <w:rFonts w:ascii="Times New Roman" w:hAnsi="Times New Roman" w:eastAsia="宋体" w:cs="Times New Roman"/>
                <w:szCs w:val="18"/>
              </w:rPr>
            </w:pPr>
            <w:r>
              <w:rPr>
                <w:rFonts w:ascii="Times New Roman" w:hAnsi="Times New Roman" w:eastAsia="宋体" w:cs="Times New Roman"/>
                <w:szCs w:val="18"/>
              </w:rPr>
              <w:t>-0.46</w:t>
            </w:r>
          </w:p>
        </w:tc>
        <w:tc>
          <w:tcPr>
            <w:tcW w:w="529" w:type="pct"/>
            <w:vAlign w:val="bottom"/>
          </w:tcPr>
          <w:p w14:paraId="4D51B754">
            <w:pPr>
              <w:spacing w:line="360" w:lineRule="auto"/>
              <w:rPr>
                <w:rFonts w:ascii="Times New Roman" w:hAnsi="Times New Roman" w:eastAsia="宋体" w:cs="Times New Roman"/>
                <w:szCs w:val="18"/>
              </w:rPr>
            </w:pPr>
            <w:r>
              <w:rPr>
                <w:rFonts w:ascii="Times New Roman" w:hAnsi="Times New Roman" w:eastAsia="宋体" w:cs="Times New Roman"/>
                <w:szCs w:val="18"/>
              </w:rPr>
              <w:t>2.98</w:t>
            </w:r>
          </w:p>
        </w:tc>
        <w:tc>
          <w:tcPr>
            <w:tcW w:w="423" w:type="pct"/>
            <w:vAlign w:val="bottom"/>
          </w:tcPr>
          <w:p w14:paraId="68352E49">
            <w:pPr>
              <w:spacing w:line="360" w:lineRule="auto"/>
              <w:rPr>
                <w:rFonts w:ascii="Times New Roman" w:hAnsi="Times New Roman" w:eastAsia="宋体" w:cs="Times New Roman"/>
                <w:szCs w:val="18"/>
              </w:rPr>
            </w:pPr>
            <w:r>
              <w:rPr>
                <w:rFonts w:ascii="Times New Roman" w:hAnsi="Times New Roman" w:eastAsia="宋体" w:cs="Times New Roman"/>
                <w:szCs w:val="18"/>
              </w:rPr>
              <w:t>3.56</w:t>
            </w:r>
          </w:p>
        </w:tc>
      </w:tr>
      <w:tr w14:paraId="77B8668C">
        <w:tblPrEx>
          <w:tblCellMar>
            <w:top w:w="0" w:type="dxa"/>
            <w:left w:w="108" w:type="dxa"/>
            <w:bottom w:w="0" w:type="dxa"/>
            <w:right w:w="108" w:type="dxa"/>
          </w:tblCellMar>
        </w:tblPrEx>
        <w:trPr>
          <w:jc w:val="center"/>
        </w:trPr>
        <w:tc>
          <w:tcPr>
            <w:tcW w:w="391" w:type="pct"/>
            <w:tcBorders>
              <w:bottom w:val="single" w:color="000000" w:sz="12" w:space="0"/>
            </w:tcBorders>
          </w:tcPr>
          <w:p w14:paraId="1C7EDB1A">
            <w:pPr>
              <w:spacing w:line="360" w:lineRule="auto"/>
              <w:rPr>
                <w:rFonts w:ascii="Times New Roman" w:hAnsi="Times New Roman" w:eastAsia="宋体" w:cs="Times New Roman"/>
                <w:szCs w:val="18"/>
              </w:rPr>
            </w:pPr>
            <w:r>
              <w:rPr>
                <w:rFonts w:ascii="Times New Roman" w:hAnsi="Times New Roman" w:eastAsia="宋体" w:cs="Times New Roman"/>
                <w:szCs w:val="18"/>
              </w:rPr>
              <w:t>20</w:t>
            </w:r>
          </w:p>
        </w:tc>
        <w:tc>
          <w:tcPr>
            <w:tcW w:w="380" w:type="pct"/>
            <w:tcBorders>
              <w:bottom w:val="single" w:color="000000" w:sz="12" w:space="0"/>
            </w:tcBorders>
          </w:tcPr>
          <w:p w14:paraId="2BCC1132">
            <w:pPr>
              <w:spacing w:line="360" w:lineRule="auto"/>
              <w:rPr>
                <w:rFonts w:ascii="Times New Roman" w:hAnsi="Times New Roman" w:eastAsia="宋体" w:cs="Times New Roman"/>
                <w:szCs w:val="18"/>
              </w:rPr>
            </w:pPr>
            <w:r>
              <w:rPr>
                <w:rFonts w:ascii="Times New Roman" w:hAnsi="Times New Roman" w:eastAsia="宋体" w:cs="Times New Roman"/>
                <w:szCs w:val="18"/>
              </w:rPr>
              <w:t>W20</w:t>
            </w:r>
          </w:p>
        </w:tc>
        <w:tc>
          <w:tcPr>
            <w:tcW w:w="539" w:type="pct"/>
            <w:tcBorders>
              <w:bottom w:val="single" w:color="000000" w:sz="12" w:space="0"/>
            </w:tcBorders>
            <w:vAlign w:val="bottom"/>
          </w:tcPr>
          <w:p w14:paraId="0F91598F">
            <w:pPr>
              <w:spacing w:line="360" w:lineRule="auto"/>
              <w:rPr>
                <w:rFonts w:ascii="Times New Roman" w:hAnsi="Times New Roman" w:eastAsia="宋体" w:cs="Times New Roman"/>
                <w:szCs w:val="18"/>
              </w:rPr>
            </w:pPr>
            <w:r>
              <w:rPr>
                <w:rFonts w:ascii="Times New Roman" w:hAnsi="Times New Roman" w:eastAsia="宋体" w:cs="Times New Roman"/>
                <w:szCs w:val="18"/>
              </w:rPr>
              <w:t>-12.51</w:t>
            </w:r>
          </w:p>
        </w:tc>
        <w:tc>
          <w:tcPr>
            <w:tcW w:w="438" w:type="pct"/>
            <w:tcBorders>
              <w:bottom w:val="single" w:color="000000" w:sz="12" w:space="0"/>
            </w:tcBorders>
            <w:vAlign w:val="bottom"/>
          </w:tcPr>
          <w:p w14:paraId="0FC8CC32">
            <w:pPr>
              <w:spacing w:line="360" w:lineRule="auto"/>
              <w:rPr>
                <w:rFonts w:ascii="Times New Roman" w:hAnsi="Times New Roman" w:eastAsia="宋体" w:cs="Times New Roman"/>
                <w:szCs w:val="18"/>
              </w:rPr>
            </w:pPr>
            <w:r>
              <w:rPr>
                <w:rFonts w:ascii="Times New Roman" w:hAnsi="Times New Roman" w:eastAsia="宋体" w:cs="Times New Roman"/>
                <w:szCs w:val="18"/>
              </w:rPr>
              <w:t>4.21</w:t>
            </w:r>
          </w:p>
        </w:tc>
        <w:tc>
          <w:tcPr>
            <w:tcW w:w="472" w:type="pct"/>
            <w:tcBorders>
              <w:bottom w:val="single" w:color="000000" w:sz="12" w:space="0"/>
            </w:tcBorders>
            <w:vAlign w:val="bottom"/>
          </w:tcPr>
          <w:p w14:paraId="0EA63280">
            <w:pPr>
              <w:spacing w:line="360" w:lineRule="auto"/>
              <w:rPr>
                <w:rFonts w:ascii="Times New Roman" w:hAnsi="Times New Roman" w:eastAsia="宋体" w:cs="Times New Roman"/>
                <w:szCs w:val="18"/>
              </w:rPr>
            </w:pPr>
            <w:r>
              <w:rPr>
                <w:rFonts w:ascii="Times New Roman" w:hAnsi="Times New Roman" w:eastAsia="宋体" w:cs="Times New Roman"/>
                <w:szCs w:val="18"/>
              </w:rPr>
              <w:t>-0.61</w:t>
            </w:r>
          </w:p>
        </w:tc>
        <w:tc>
          <w:tcPr>
            <w:tcW w:w="482" w:type="pct"/>
            <w:tcBorders>
              <w:bottom w:val="single" w:color="000000" w:sz="12" w:space="0"/>
            </w:tcBorders>
            <w:vAlign w:val="bottom"/>
          </w:tcPr>
          <w:p w14:paraId="460F90DB">
            <w:pPr>
              <w:spacing w:line="360" w:lineRule="auto"/>
              <w:rPr>
                <w:rFonts w:ascii="Times New Roman" w:hAnsi="Times New Roman" w:eastAsia="宋体" w:cs="Times New Roman"/>
                <w:szCs w:val="18"/>
              </w:rPr>
            </w:pPr>
            <w:r>
              <w:rPr>
                <w:rFonts w:ascii="Times New Roman" w:hAnsi="Times New Roman" w:eastAsia="宋体" w:cs="Times New Roman"/>
                <w:szCs w:val="18"/>
              </w:rPr>
              <w:t>0.69</w:t>
            </w:r>
          </w:p>
        </w:tc>
        <w:tc>
          <w:tcPr>
            <w:tcW w:w="438" w:type="pct"/>
            <w:tcBorders>
              <w:bottom w:val="single" w:color="000000" w:sz="12" w:space="0"/>
            </w:tcBorders>
            <w:vAlign w:val="bottom"/>
          </w:tcPr>
          <w:p w14:paraId="51FE266E">
            <w:pPr>
              <w:spacing w:line="360" w:lineRule="auto"/>
              <w:rPr>
                <w:rFonts w:ascii="Times New Roman" w:hAnsi="Times New Roman" w:eastAsia="宋体" w:cs="Times New Roman"/>
                <w:szCs w:val="18"/>
              </w:rPr>
            </w:pPr>
            <w:r>
              <w:rPr>
                <w:rFonts w:ascii="Times New Roman" w:hAnsi="Times New Roman" w:eastAsia="宋体" w:cs="Times New Roman"/>
                <w:szCs w:val="18"/>
              </w:rPr>
              <w:t>0.99</w:t>
            </w:r>
          </w:p>
        </w:tc>
        <w:tc>
          <w:tcPr>
            <w:tcW w:w="383" w:type="pct"/>
            <w:tcBorders>
              <w:bottom w:val="single" w:color="000000" w:sz="12" w:space="0"/>
            </w:tcBorders>
            <w:vAlign w:val="bottom"/>
          </w:tcPr>
          <w:p w14:paraId="0327D536">
            <w:pPr>
              <w:spacing w:line="360" w:lineRule="auto"/>
              <w:rPr>
                <w:rFonts w:ascii="Times New Roman" w:hAnsi="Times New Roman" w:eastAsia="宋体" w:cs="Times New Roman"/>
                <w:szCs w:val="18"/>
              </w:rPr>
            </w:pPr>
            <w:r>
              <w:rPr>
                <w:rFonts w:ascii="Times New Roman" w:hAnsi="Times New Roman" w:eastAsia="宋体" w:cs="Times New Roman"/>
                <w:szCs w:val="18"/>
              </w:rPr>
              <w:t>5.49</w:t>
            </w:r>
          </w:p>
        </w:tc>
        <w:tc>
          <w:tcPr>
            <w:tcW w:w="521" w:type="pct"/>
            <w:tcBorders>
              <w:bottom w:val="single" w:color="000000" w:sz="12" w:space="0"/>
            </w:tcBorders>
            <w:vAlign w:val="bottom"/>
          </w:tcPr>
          <w:p w14:paraId="42E155A3">
            <w:pPr>
              <w:spacing w:line="360" w:lineRule="auto"/>
              <w:rPr>
                <w:rFonts w:ascii="Times New Roman" w:hAnsi="Times New Roman" w:eastAsia="宋体" w:cs="Times New Roman"/>
                <w:szCs w:val="18"/>
              </w:rPr>
            </w:pPr>
            <w:r>
              <w:rPr>
                <w:rFonts w:ascii="Times New Roman" w:hAnsi="Times New Roman" w:eastAsia="宋体" w:cs="Times New Roman"/>
                <w:szCs w:val="18"/>
              </w:rPr>
              <w:t>-0.43</w:t>
            </w:r>
          </w:p>
        </w:tc>
        <w:tc>
          <w:tcPr>
            <w:tcW w:w="529" w:type="pct"/>
            <w:tcBorders>
              <w:bottom w:val="single" w:color="000000" w:sz="12" w:space="0"/>
            </w:tcBorders>
            <w:vAlign w:val="bottom"/>
          </w:tcPr>
          <w:p w14:paraId="36D7B48A">
            <w:pPr>
              <w:spacing w:line="360" w:lineRule="auto"/>
              <w:rPr>
                <w:rFonts w:ascii="Times New Roman" w:hAnsi="Times New Roman" w:eastAsia="宋体" w:cs="Times New Roman"/>
                <w:szCs w:val="18"/>
              </w:rPr>
            </w:pPr>
            <w:r>
              <w:rPr>
                <w:rFonts w:ascii="Times New Roman" w:hAnsi="Times New Roman" w:eastAsia="宋体" w:cs="Times New Roman"/>
                <w:szCs w:val="18"/>
              </w:rPr>
              <w:t>3.06</w:t>
            </w:r>
          </w:p>
        </w:tc>
        <w:tc>
          <w:tcPr>
            <w:tcW w:w="423" w:type="pct"/>
            <w:tcBorders>
              <w:bottom w:val="single" w:color="000000" w:sz="12" w:space="0"/>
            </w:tcBorders>
            <w:vAlign w:val="bottom"/>
          </w:tcPr>
          <w:p w14:paraId="5A7E75FA">
            <w:pPr>
              <w:spacing w:line="360" w:lineRule="auto"/>
              <w:rPr>
                <w:rFonts w:ascii="Times New Roman" w:hAnsi="Times New Roman" w:eastAsia="宋体" w:cs="Times New Roman"/>
                <w:szCs w:val="18"/>
              </w:rPr>
            </w:pPr>
            <w:r>
              <w:rPr>
                <w:rFonts w:ascii="Times New Roman" w:hAnsi="Times New Roman" w:eastAsia="宋体" w:cs="Times New Roman"/>
                <w:szCs w:val="18"/>
              </w:rPr>
              <w:t>3.69</w:t>
            </w:r>
          </w:p>
        </w:tc>
      </w:tr>
    </w:tbl>
    <w:p w14:paraId="4083FC96">
      <w:pPr>
        <w:adjustRightIn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文中建立的黄精炆制前后电子舌测定条件，以基准液作为空白对照，基准溶液是模拟人体口腔中仅有唾液时的状态，更大程度的反映出人体的实际口感。并进行了方法学验证表明建立的方法科学，稳定。是可用于黄精药材及炆黄精饮片的味觉客观量化评价的，能有效地对黄精生药材及炆黄精饮片进行鉴别</w:t>
      </w:r>
    </w:p>
    <w:p w14:paraId="06A7DFC5">
      <w:pPr>
        <w:adjustRightIn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江西黄精无论是多花黄精、大叶黄精，其涩味、苦味、酸叶均较低，鲜味值高，且蒸晒、纹制后口感更人士。，由此说明黄精经过炆制后口感更佳。</w:t>
      </w:r>
    </w:p>
    <w:p w14:paraId="244EB320">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对采用电子舌技术或可充当与特征图谱、指纹图谱相近的角色共同应用于黄精药材及饮片的质量评价中，并用于黄精炆制前后的质量标准制定。考虑样品量不足以代表大生产，且检验较难，尊重传统的性味判断，本标准维持原有的传统表述：气微，味甜。</w:t>
      </w:r>
    </w:p>
    <w:p w14:paraId="63EBB41A">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7.</w:t>
      </w:r>
      <w:r>
        <w:rPr>
          <w:rFonts w:hint="eastAsia" w:ascii="Times New Roman" w:hAnsi="Times New Roman" w:eastAsia="宋体" w:cs="Times New Roman"/>
          <w:sz w:val="24"/>
          <w:szCs w:val="24"/>
        </w:rPr>
        <w:t>6</w:t>
      </w:r>
      <w:r>
        <w:rPr>
          <w:rFonts w:ascii="Times New Roman" w:hAnsi="Times New Roman" w:eastAsia="宋体" w:cs="Times New Roman"/>
          <w:sz w:val="24"/>
          <w:szCs w:val="24"/>
        </w:rPr>
        <w:t>.</w:t>
      </w:r>
      <w:r>
        <w:rPr>
          <w:rFonts w:hint="eastAsia" w:ascii="Times New Roman" w:hAnsi="Times New Roman" w:eastAsia="宋体" w:cs="Times New Roman"/>
          <w:sz w:val="24"/>
          <w:szCs w:val="24"/>
        </w:rPr>
        <w:t>3</w:t>
      </w:r>
      <w:r>
        <w:rPr>
          <w:rFonts w:ascii="Times New Roman" w:hAnsi="Times New Roman" w:eastAsia="宋体" w:cs="Times New Roman"/>
          <w:sz w:val="24"/>
          <w:szCs w:val="24"/>
        </w:rPr>
        <w:t xml:space="preserve"> </w:t>
      </w:r>
      <w:r>
        <w:rPr>
          <w:rFonts w:hint="eastAsia" w:ascii="Times New Roman" w:hAnsi="Times New Roman" w:eastAsia="宋体" w:cs="Times New Roman"/>
          <w:sz w:val="24"/>
          <w:szCs w:val="24"/>
        </w:rPr>
        <w:t>理化指标</w:t>
      </w:r>
    </w:p>
    <w:p w14:paraId="4268727A">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1、浸出物含量</w:t>
      </w:r>
    </w:p>
    <w:p w14:paraId="030F96DE">
      <w:pPr>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rPr>
        <w:t>浸出物含量《中华人民共和国药典》</w:t>
      </w:r>
      <w:r>
        <w:rPr>
          <w:rFonts w:ascii="Times New Roman" w:hAnsi="Times New Roman" w:eastAsia="宋体" w:cs="Times New Roman"/>
          <w:sz w:val="24"/>
        </w:rPr>
        <w:t xml:space="preserve">(2020 </w:t>
      </w:r>
      <w:r>
        <w:rPr>
          <w:rFonts w:hint="eastAsia" w:ascii="Times New Roman" w:hAnsi="Times New Roman" w:eastAsia="宋体" w:cs="Times New Roman"/>
          <w:sz w:val="24"/>
        </w:rPr>
        <w:t>版）规定：</w:t>
      </w:r>
      <w:r>
        <w:rPr>
          <w:rFonts w:ascii="Times New Roman" w:hAnsi="Times New Roman" w:eastAsia="宋体" w:cs="Times New Roman"/>
          <w:sz w:val="24"/>
        </w:rPr>
        <w:t>:</w:t>
      </w:r>
      <w:r>
        <w:rPr>
          <w:rFonts w:hint="eastAsia" w:ascii="Times New Roman" w:hAnsi="Times New Roman" w:eastAsia="宋体" w:cs="Times New Roman"/>
          <w:sz w:val="24"/>
        </w:rPr>
        <w:t>按《中华人民共和国药典》</w:t>
      </w:r>
      <w:r>
        <w:rPr>
          <w:rFonts w:ascii="Times New Roman" w:hAnsi="Times New Roman" w:eastAsia="宋体" w:cs="Times New Roman"/>
          <w:sz w:val="24"/>
        </w:rPr>
        <w:t xml:space="preserve">(2020 </w:t>
      </w:r>
      <w:r>
        <w:rPr>
          <w:rFonts w:hint="eastAsia" w:ascii="Times New Roman" w:hAnsi="Times New Roman" w:eastAsia="宋体" w:cs="Times New Roman"/>
          <w:sz w:val="24"/>
        </w:rPr>
        <w:t>版四部通则</w:t>
      </w:r>
      <w:r>
        <w:rPr>
          <w:rFonts w:ascii="Times New Roman" w:hAnsi="Times New Roman" w:eastAsia="宋体" w:cs="Times New Roman"/>
          <w:sz w:val="24"/>
        </w:rPr>
        <w:t xml:space="preserve">2201) </w:t>
      </w:r>
      <w:r>
        <w:rPr>
          <w:rFonts w:hint="eastAsia" w:ascii="Times New Roman" w:hAnsi="Times New Roman" w:eastAsia="宋体" w:cs="Times New Roman"/>
          <w:sz w:val="24"/>
        </w:rPr>
        <w:t>浸出物测定法”中“热浸法”项下，照醇溶性浸岀物测定法（通则</w:t>
      </w:r>
      <w:r>
        <w:rPr>
          <w:rFonts w:ascii="Times New Roman" w:hAnsi="Times New Roman" w:eastAsia="宋体" w:cs="Times New Roman"/>
          <w:sz w:val="24"/>
        </w:rPr>
        <w:t>2201</w:t>
      </w:r>
      <w:r>
        <w:rPr>
          <w:rFonts w:hint="eastAsia" w:ascii="Times New Roman" w:hAnsi="Times New Roman" w:eastAsia="宋体" w:cs="Times New Roman"/>
          <w:sz w:val="24"/>
        </w:rPr>
        <w:t>）项下的热浸法测定，用稀乙醇作溶剂，不得少于</w:t>
      </w:r>
      <w:r>
        <w:rPr>
          <w:rFonts w:ascii="Times New Roman" w:hAnsi="Times New Roman" w:eastAsia="宋体" w:cs="Times New Roman"/>
          <w:sz w:val="24"/>
        </w:rPr>
        <w:t>45. 0%</w:t>
      </w:r>
      <w:r>
        <w:rPr>
          <w:rFonts w:hint="eastAsia" w:ascii="Times New Roman" w:hAnsi="Times New Roman" w:eastAsia="宋体" w:cs="Times New Roman"/>
          <w:sz w:val="24"/>
        </w:rPr>
        <w:t>。</w:t>
      </w:r>
    </w:p>
    <w:p w14:paraId="617A98DD">
      <w:pPr>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rPr>
        <w:t>在对全省</w:t>
      </w:r>
      <w:r>
        <w:rPr>
          <w:rFonts w:ascii="Times New Roman" w:hAnsi="Times New Roman" w:eastAsia="宋体" w:cs="Times New Roman"/>
          <w:sz w:val="24"/>
        </w:rPr>
        <w:t>16</w:t>
      </w:r>
      <w:r>
        <w:rPr>
          <w:rFonts w:hint="eastAsia" w:ascii="Times New Roman" w:hAnsi="Times New Roman" w:eastAsia="宋体" w:cs="Times New Roman"/>
          <w:sz w:val="24"/>
        </w:rPr>
        <w:t>个批次的抽样后，平均值达</w:t>
      </w:r>
      <w:r>
        <w:rPr>
          <w:rFonts w:ascii="Times New Roman" w:hAnsi="Times New Roman" w:eastAsia="宋体" w:cs="Times New Roman"/>
          <w:sz w:val="24"/>
        </w:rPr>
        <w:t>73.6%</w:t>
      </w:r>
      <w:r>
        <w:rPr>
          <w:rFonts w:hint="eastAsia" w:ascii="Times New Roman" w:hAnsi="Times New Roman" w:eastAsia="宋体" w:cs="Times New Roman"/>
          <w:sz w:val="24"/>
        </w:rPr>
        <w:t>，最高</w:t>
      </w:r>
      <w:r>
        <w:rPr>
          <w:rFonts w:ascii="Times New Roman" w:hAnsi="Times New Roman" w:eastAsia="宋体" w:cs="Times New Roman"/>
          <w:sz w:val="24"/>
        </w:rPr>
        <w:t>79</w:t>
      </w:r>
      <w:r>
        <w:rPr>
          <w:rFonts w:hint="eastAsia" w:ascii="Times New Roman" w:hAnsi="Times New Roman" w:eastAsia="宋体" w:cs="Times New Roman"/>
          <w:sz w:val="24"/>
        </w:rPr>
        <w:t>。</w:t>
      </w:r>
      <w:r>
        <w:rPr>
          <w:rFonts w:ascii="Times New Roman" w:hAnsi="Times New Roman" w:eastAsia="宋体" w:cs="Times New Roman"/>
          <w:sz w:val="24"/>
        </w:rPr>
        <w:t>4%</w:t>
      </w:r>
      <w:r>
        <w:rPr>
          <w:rFonts w:hint="eastAsia" w:ascii="Times New Roman" w:hAnsi="Times New Roman" w:eastAsia="宋体" w:cs="Times New Roman"/>
          <w:sz w:val="24"/>
        </w:rPr>
        <w:t>，最低</w:t>
      </w:r>
      <w:r>
        <w:rPr>
          <w:rFonts w:ascii="Times New Roman" w:hAnsi="Times New Roman" w:eastAsia="宋体" w:cs="Times New Roman"/>
          <w:sz w:val="24"/>
        </w:rPr>
        <w:t>68.3%</w:t>
      </w:r>
      <w:r>
        <w:rPr>
          <w:rFonts w:hint="eastAsia" w:ascii="Times New Roman" w:hAnsi="Times New Roman" w:eastAsia="宋体" w:cs="Times New Roman"/>
          <w:sz w:val="24"/>
        </w:rPr>
        <w:t>。查阅公开的文献，显示江西来源的多花黄精最低在</w:t>
      </w:r>
      <w:r>
        <w:rPr>
          <w:rFonts w:ascii="Times New Roman" w:hAnsi="Times New Roman" w:eastAsia="宋体" w:cs="Times New Roman"/>
          <w:sz w:val="24"/>
        </w:rPr>
        <w:t>63.2%</w:t>
      </w:r>
      <w:r>
        <w:rPr>
          <w:rFonts w:hint="eastAsia" w:ascii="Times New Roman" w:hAnsi="Times New Roman" w:eastAsia="宋体" w:cs="Times New Roman"/>
          <w:sz w:val="24"/>
        </w:rPr>
        <w:t>。江西来源的大叶黄精最低在</w:t>
      </w:r>
      <w:r>
        <w:rPr>
          <w:rFonts w:ascii="Times New Roman" w:hAnsi="Times New Roman" w:eastAsia="宋体" w:cs="Times New Roman"/>
          <w:sz w:val="24"/>
        </w:rPr>
        <w:t>58%</w:t>
      </w:r>
      <w:r>
        <w:rPr>
          <w:rFonts w:hint="eastAsia" w:ascii="Times New Roman" w:hAnsi="Times New Roman" w:eastAsia="宋体" w:cs="Times New Roman"/>
          <w:sz w:val="24"/>
        </w:rPr>
        <w:t>。鉴于些，本标准有做提升，提为：浸出物含量：《中华人民共和国药典》</w:t>
      </w:r>
      <w:r>
        <w:rPr>
          <w:rFonts w:ascii="Times New Roman" w:hAnsi="Times New Roman" w:eastAsia="宋体" w:cs="Times New Roman"/>
          <w:sz w:val="24"/>
        </w:rPr>
        <w:t xml:space="preserve">(2020 </w:t>
      </w:r>
      <w:r>
        <w:rPr>
          <w:rFonts w:hint="eastAsia" w:ascii="Times New Roman" w:hAnsi="Times New Roman" w:eastAsia="宋体" w:cs="Times New Roman"/>
          <w:sz w:val="24"/>
        </w:rPr>
        <w:t>版）规定：</w:t>
      </w:r>
      <w:r>
        <w:rPr>
          <w:rFonts w:ascii="Times New Roman" w:hAnsi="Times New Roman" w:eastAsia="宋体" w:cs="Times New Roman"/>
          <w:sz w:val="24"/>
        </w:rPr>
        <w:t>:</w:t>
      </w:r>
      <w:r>
        <w:rPr>
          <w:rFonts w:hint="eastAsia" w:ascii="Times New Roman" w:hAnsi="Times New Roman" w:eastAsia="宋体" w:cs="Times New Roman"/>
          <w:sz w:val="24"/>
        </w:rPr>
        <w:t>按《中华人民共和国药典》</w:t>
      </w:r>
      <w:r>
        <w:rPr>
          <w:rFonts w:ascii="Times New Roman" w:hAnsi="Times New Roman" w:eastAsia="宋体" w:cs="Times New Roman"/>
          <w:sz w:val="24"/>
        </w:rPr>
        <w:t xml:space="preserve">(2020 </w:t>
      </w:r>
      <w:r>
        <w:rPr>
          <w:rFonts w:hint="eastAsia" w:ascii="Times New Roman" w:hAnsi="Times New Roman" w:eastAsia="宋体" w:cs="Times New Roman"/>
          <w:sz w:val="24"/>
        </w:rPr>
        <w:t>版四部通则</w:t>
      </w:r>
      <w:r>
        <w:rPr>
          <w:rFonts w:ascii="Times New Roman" w:hAnsi="Times New Roman" w:eastAsia="宋体" w:cs="Times New Roman"/>
          <w:sz w:val="24"/>
        </w:rPr>
        <w:t xml:space="preserve">2201) </w:t>
      </w:r>
      <w:r>
        <w:rPr>
          <w:rFonts w:hint="eastAsia" w:ascii="Times New Roman" w:hAnsi="Times New Roman" w:eastAsia="宋体" w:cs="Times New Roman"/>
          <w:sz w:val="24"/>
        </w:rPr>
        <w:t>浸出物测定法”中“热浸法”项下，照醇溶性浸岀物测定法（通则</w:t>
      </w:r>
      <w:r>
        <w:rPr>
          <w:rFonts w:ascii="Times New Roman" w:hAnsi="Times New Roman" w:eastAsia="宋体" w:cs="Times New Roman"/>
          <w:sz w:val="24"/>
        </w:rPr>
        <w:t>2201</w:t>
      </w:r>
      <w:r>
        <w:rPr>
          <w:rFonts w:hint="eastAsia" w:ascii="Times New Roman" w:hAnsi="Times New Roman" w:eastAsia="宋体" w:cs="Times New Roman"/>
          <w:sz w:val="24"/>
        </w:rPr>
        <w:t>）项下的热浸法测定，用稀乙醇作溶剂，不得少于</w:t>
      </w:r>
      <w:r>
        <w:rPr>
          <w:rFonts w:ascii="Times New Roman" w:hAnsi="Times New Roman" w:eastAsia="宋体" w:cs="Times New Roman"/>
          <w:sz w:val="24"/>
        </w:rPr>
        <w:t>50. 0%</w:t>
      </w:r>
      <w:r>
        <w:rPr>
          <w:rFonts w:hint="eastAsia" w:ascii="Times New Roman" w:hAnsi="Times New Roman" w:eastAsia="宋体" w:cs="Times New Roman"/>
          <w:sz w:val="24"/>
        </w:rPr>
        <w:t>。</w:t>
      </w:r>
    </w:p>
    <w:tbl>
      <w:tblPr>
        <w:tblStyle w:val="27"/>
        <w:tblpPr w:leftFromText="180" w:rightFromText="180" w:vertAnchor="text" w:horzAnchor="margin" w:tblpXSpec="center" w:tblpY="218"/>
        <w:tblW w:w="9580" w:type="dxa"/>
        <w:jc w:val="center"/>
        <w:tblLayout w:type="autofit"/>
        <w:tblCellMar>
          <w:top w:w="0" w:type="dxa"/>
          <w:left w:w="108" w:type="dxa"/>
          <w:bottom w:w="0" w:type="dxa"/>
          <w:right w:w="108" w:type="dxa"/>
        </w:tblCellMar>
      </w:tblPr>
      <w:tblGrid>
        <w:gridCol w:w="741"/>
        <w:gridCol w:w="847"/>
        <w:gridCol w:w="916"/>
        <w:gridCol w:w="1036"/>
        <w:gridCol w:w="1036"/>
        <w:gridCol w:w="1155"/>
        <w:gridCol w:w="1258"/>
        <w:gridCol w:w="1155"/>
        <w:gridCol w:w="1436"/>
      </w:tblGrid>
      <w:tr w14:paraId="1A049538">
        <w:tblPrEx>
          <w:tblCellMar>
            <w:top w:w="0" w:type="dxa"/>
            <w:left w:w="108" w:type="dxa"/>
            <w:bottom w:w="0" w:type="dxa"/>
            <w:right w:w="108" w:type="dxa"/>
          </w:tblCellMar>
        </w:tblPrEx>
        <w:trPr>
          <w:trHeight w:val="408" w:hRule="atLeast"/>
          <w:jc w:val="center"/>
        </w:trPr>
        <w:tc>
          <w:tcPr>
            <w:tcW w:w="9580" w:type="dxa"/>
            <w:gridSpan w:val="9"/>
            <w:tcBorders>
              <w:top w:val="nil"/>
              <w:left w:val="nil"/>
              <w:bottom w:val="nil"/>
              <w:right w:val="nil"/>
            </w:tcBorders>
            <w:shd w:val="clear" w:color="auto" w:fill="auto"/>
            <w:vAlign w:val="center"/>
          </w:tcPr>
          <w:p w14:paraId="724E803D">
            <w:pPr>
              <w:widowControl/>
              <w:spacing w:line="360" w:lineRule="auto"/>
              <w:jc w:val="center"/>
              <w:rPr>
                <w:rFonts w:ascii="Times New Roman" w:hAnsi="Times New Roman" w:eastAsia="宋体" w:cs="Times New Roman"/>
                <w:color w:val="000000"/>
                <w:kern w:val="0"/>
                <w:szCs w:val="24"/>
              </w:rPr>
            </w:pPr>
            <w:r>
              <w:rPr>
                <w:rFonts w:hint="eastAsia" w:ascii="Times New Roman" w:hAnsi="Times New Roman" w:eastAsia="宋体" w:cs="Times New Roman"/>
                <w:color w:val="000000"/>
                <w:kern w:val="0"/>
                <w:szCs w:val="24"/>
              </w:rPr>
              <w:t>浸出物含量表</w:t>
            </w:r>
          </w:p>
        </w:tc>
      </w:tr>
      <w:tr w14:paraId="08D1F1D5">
        <w:tblPrEx>
          <w:tblCellMar>
            <w:top w:w="0" w:type="dxa"/>
            <w:left w:w="108" w:type="dxa"/>
            <w:bottom w:w="0" w:type="dxa"/>
            <w:right w:w="108" w:type="dxa"/>
          </w:tblCellMar>
        </w:tblPrEx>
        <w:trPr>
          <w:trHeight w:val="576" w:hRule="atLeast"/>
          <w:jc w:val="center"/>
        </w:trPr>
        <w:tc>
          <w:tcPr>
            <w:tcW w:w="822" w:type="dxa"/>
            <w:tcBorders>
              <w:top w:val="single" w:color="auto" w:sz="4" w:space="0"/>
              <w:left w:val="nil"/>
              <w:bottom w:val="nil"/>
              <w:right w:val="nil"/>
            </w:tcBorders>
            <w:shd w:val="clear" w:color="auto" w:fill="auto"/>
            <w:vAlign w:val="center"/>
          </w:tcPr>
          <w:p w14:paraId="56306240">
            <w:pPr>
              <w:widowControl/>
              <w:spacing w:line="360" w:lineRule="auto"/>
              <w:rPr>
                <w:rFonts w:ascii="Times New Roman" w:hAnsi="Times New Roman" w:eastAsia="宋体" w:cs="Times New Roman"/>
                <w:color w:val="000000"/>
                <w:kern w:val="0"/>
                <w:szCs w:val="20"/>
              </w:rPr>
            </w:pPr>
            <w:r>
              <w:rPr>
                <w:rFonts w:hint="eastAsia" w:ascii="Times New Roman" w:hAnsi="Times New Roman" w:eastAsia="宋体" w:cs="Times New Roman"/>
                <w:color w:val="000000"/>
                <w:kern w:val="0"/>
                <w:szCs w:val="20"/>
              </w:rPr>
              <w:t>序号</w:t>
            </w:r>
          </w:p>
        </w:tc>
        <w:tc>
          <w:tcPr>
            <w:tcW w:w="766" w:type="dxa"/>
            <w:tcBorders>
              <w:top w:val="single" w:color="auto" w:sz="4" w:space="0"/>
              <w:left w:val="nil"/>
              <w:bottom w:val="nil"/>
              <w:right w:val="nil"/>
            </w:tcBorders>
            <w:shd w:val="clear" w:color="auto" w:fill="auto"/>
            <w:noWrap/>
            <w:vAlign w:val="center"/>
          </w:tcPr>
          <w:p w14:paraId="6E5D705B">
            <w:pPr>
              <w:widowControl/>
              <w:spacing w:line="360" w:lineRule="auto"/>
              <w:rPr>
                <w:rFonts w:ascii="Times New Roman" w:hAnsi="Times New Roman" w:eastAsia="宋体" w:cs="Times New Roman"/>
                <w:color w:val="000000"/>
                <w:kern w:val="0"/>
                <w:szCs w:val="20"/>
              </w:rPr>
            </w:pPr>
            <w:r>
              <w:rPr>
                <w:rFonts w:hint="eastAsia" w:ascii="Times New Roman" w:hAnsi="Times New Roman" w:eastAsia="宋体" w:cs="Times New Roman"/>
                <w:color w:val="000000"/>
                <w:kern w:val="0"/>
                <w:szCs w:val="20"/>
              </w:rPr>
              <w:t>编号</w:t>
            </w:r>
          </w:p>
        </w:tc>
        <w:tc>
          <w:tcPr>
            <w:tcW w:w="916" w:type="dxa"/>
            <w:tcBorders>
              <w:top w:val="single" w:color="auto" w:sz="4" w:space="0"/>
              <w:left w:val="nil"/>
              <w:bottom w:val="nil"/>
              <w:right w:val="nil"/>
            </w:tcBorders>
            <w:shd w:val="clear" w:color="auto" w:fill="auto"/>
            <w:noWrap/>
            <w:vAlign w:val="center"/>
          </w:tcPr>
          <w:p w14:paraId="735669D7">
            <w:pPr>
              <w:widowControl/>
              <w:spacing w:line="360" w:lineRule="auto"/>
              <w:rPr>
                <w:rFonts w:ascii="Times New Roman" w:hAnsi="Times New Roman" w:eastAsia="宋体" w:cs="Times New Roman"/>
                <w:color w:val="000000"/>
                <w:kern w:val="0"/>
                <w:szCs w:val="20"/>
              </w:rPr>
            </w:pPr>
            <w:r>
              <w:rPr>
                <w:rFonts w:hint="eastAsia" w:ascii="Times New Roman" w:hAnsi="Times New Roman" w:eastAsia="宋体" w:cs="Times New Roman"/>
                <w:color w:val="000000"/>
                <w:kern w:val="0"/>
                <w:szCs w:val="20"/>
              </w:rPr>
              <w:t>样品重</w:t>
            </w:r>
            <w:r>
              <w:rPr>
                <w:rFonts w:ascii="Times New Roman" w:hAnsi="Times New Roman" w:eastAsia="宋体" w:cs="Times New Roman"/>
                <w:color w:val="000000"/>
                <w:kern w:val="0"/>
                <w:szCs w:val="20"/>
              </w:rPr>
              <w:t>g</w:t>
            </w:r>
          </w:p>
        </w:tc>
        <w:tc>
          <w:tcPr>
            <w:tcW w:w="1036" w:type="dxa"/>
            <w:tcBorders>
              <w:top w:val="single" w:color="auto" w:sz="4" w:space="0"/>
              <w:left w:val="nil"/>
              <w:bottom w:val="nil"/>
              <w:right w:val="nil"/>
            </w:tcBorders>
            <w:shd w:val="clear" w:color="auto" w:fill="auto"/>
            <w:noWrap/>
            <w:vAlign w:val="center"/>
          </w:tcPr>
          <w:p w14:paraId="7B00389B">
            <w:pPr>
              <w:widowControl/>
              <w:spacing w:line="360" w:lineRule="auto"/>
              <w:rPr>
                <w:rFonts w:ascii="Times New Roman" w:hAnsi="Times New Roman" w:eastAsia="宋体" w:cs="Times New Roman"/>
                <w:color w:val="000000"/>
                <w:kern w:val="0"/>
                <w:szCs w:val="20"/>
              </w:rPr>
            </w:pPr>
            <w:r>
              <w:rPr>
                <w:rFonts w:hint="eastAsia" w:ascii="Times New Roman" w:hAnsi="Times New Roman" w:eastAsia="宋体" w:cs="Times New Roman"/>
                <w:color w:val="000000"/>
                <w:kern w:val="0"/>
                <w:szCs w:val="20"/>
              </w:rPr>
              <w:t>溶剂量</w:t>
            </w:r>
            <w:r>
              <w:rPr>
                <w:rFonts w:ascii="Times New Roman" w:hAnsi="Times New Roman" w:eastAsia="宋体" w:cs="Times New Roman"/>
                <w:color w:val="000000"/>
                <w:kern w:val="0"/>
                <w:szCs w:val="20"/>
              </w:rPr>
              <w:t>ml</w:t>
            </w:r>
          </w:p>
        </w:tc>
        <w:tc>
          <w:tcPr>
            <w:tcW w:w="1036" w:type="dxa"/>
            <w:tcBorders>
              <w:top w:val="single" w:color="auto" w:sz="4" w:space="0"/>
              <w:left w:val="nil"/>
              <w:bottom w:val="nil"/>
              <w:right w:val="nil"/>
            </w:tcBorders>
            <w:shd w:val="clear" w:color="auto" w:fill="auto"/>
            <w:noWrap/>
            <w:vAlign w:val="center"/>
          </w:tcPr>
          <w:p w14:paraId="16CEA976">
            <w:pPr>
              <w:widowControl/>
              <w:spacing w:line="360" w:lineRule="auto"/>
              <w:rPr>
                <w:rFonts w:ascii="Times New Roman" w:hAnsi="Times New Roman" w:eastAsia="宋体" w:cs="Times New Roman"/>
                <w:color w:val="000000"/>
                <w:kern w:val="0"/>
                <w:szCs w:val="20"/>
              </w:rPr>
            </w:pPr>
            <w:r>
              <w:rPr>
                <w:rFonts w:hint="eastAsia" w:ascii="Times New Roman" w:hAnsi="Times New Roman" w:eastAsia="宋体" w:cs="Times New Roman"/>
                <w:color w:val="000000"/>
                <w:kern w:val="0"/>
                <w:szCs w:val="20"/>
              </w:rPr>
              <w:t>取样量</w:t>
            </w:r>
            <w:r>
              <w:rPr>
                <w:rFonts w:ascii="Times New Roman" w:hAnsi="Times New Roman" w:eastAsia="宋体" w:cs="Times New Roman"/>
                <w:color w:val="000000"/>
                <w:kern w:val="0"/>
                <w:szCs w:val="20"/>
              </w:rPr>
              <w:t>ml</w:t>
            </w:r>
          </w:p>
        </w:tc>
        <w:tc>
          <w:tcPr>
            <w:tcW w:w="1155" w:type="dxa"/>
            <w:tcBorders>
              <w:top w:val="single" w:color="auto" w:sz="4" w:space="0"/>
              <w:left w:val="nil"/>
              <w:bottom w:val="nil"/>
              <w:right w:val="nil"/>
            </w:tcBorders>
            <w:shd w:val="clear" w:color="auto" w:fill="auto"/>
            <w:noWrap/>
            <w:vAlign w:val="center"/>
          </w:tcPr>
          <w:p w14:paraId="44336513">
            <w:pPr>
              <w:widowControl/>
              <w:spacing w:line="360" w:lineRule="auto"/>
              <w:rPr>
                <w:rFonts w:ascii="Times New Roman" w:hAnsi="Times New Roman" w:eastAsia="宋体" w:cs="Times New Roman"/>
                <w:color w:val="000000"/>
                <w:kern w:val="0"/>
                <w:szCs w:val="20"/>
              </w:rPr>
            </w:pPr>
            <w:r>
              <w:rPr>
                <w:rFonts w:hint="eastAsia" w:ascii="Times New Roman" w:hAnsi="Times New Roman" w:eastAsia="宋体" w:cs="Times New Roman"/>
                <w:color w:val="000000"/>
                <w:kern w:val="0"/>
                <w:szCs w:val="20"/>
              </w:rPr>
              <w:t>蒸发皿重</w:t>
            </w:r>
            <w:r>
              <w:rPr>
                <w:rFonts w:ascii="Times New Roman" w:hAnsi="Times New Roman" w:eastAsia="宋体" w:cs="Times New Roman"/>
                <w:color w:val="000000"/>
                <w:kern w:val="0"/>
                <w:szCs w:val="20"/>
              </w:rPr>
              <w:t>g</w:t>
            </w:r>
          </w:p>
        </w:tc>
        <w:tc>
          <w:tcPr>
            <w:tcW w:w="1258" w:type="dxa"/>
            <w:tcBorders>
              <w:top w:val="single" w:color="auto" w:sz="4" w:space="0"/>
              <w:left w:val="nil"/>
              <w:bottom w:val="nil"/>
              <w:right w:val="nil"/>
            </w:tcBorders>
            <w:shd w:val="clear" w:color="auto" w:fill="auto"/>
            <w:vAlign w:val="center"/>
          </w:tcPr>
          <w:p w14:paraId="032EF7BE">
            <w:pPr>
              <w:widowControl/>
              <w:spacing w:line="360" w:lineRule="auto"/>
              <w:rPr>
                <w:rFonts w:ascii="Times New Roman" w:hAnsi="Times New Roman" w:eastAsia="宋体" w:cs="Times New Roman"/>
                <w:color w:val="000000"/>
                <w:kern w:val="0"/>
                <w:szCs w:val="20"/>
              </w:rPr>
            </w:pPr>
            <w:r>
              <w:rPr>
                <w:rFonts w:hint="eastAsia" w:ascii="Times New Roman" w:hAnsi="Times New Roman" w:eastAsia="宋体" w:cs="Times New Roman"/>
                <w:color w:val="000000"/>
                <w:kern w:val="0"/>
                <w:szCs w:val="20"/>
              </w:rPr>
              <w:t>加样蒸干后蒸发皿重</w:t>
            </w:r>
            <w:r>
              <w:rPr>
                <w:rFonts w:ascii="Times New Roman" w:hAnsi="Times New Roman" w:eastAsia="宋体" w:cs="Times New Roman"/>
                <w:color w:val="000000"/>
                <w:kern w:val="0"/>
                <w:szCs w:val="20"/>
              </w:rPr>
              <w:t>g</w:t>
            </w:r>
          </w:p>
        </w:tc>
        <w:tc>
          <w:tcPr>
            <w:tcW w:w="1155" w:type="dxa"/>
            <w:tcBorders>
              <w:top w:val="single" w:color="auto" w:sz="4" w:space="0"/>
              <w:left w:val="nil"/>
              <w:bottom w:val="nil"/>
              <w:right w:val="nil"/>
            </w:tcBorders>
            <w:shd w:val="clear" w:color="auto" w:fill="auto"/>
            <w:noWrap/>
            <w:vAlign w:val="center"/>
          </w:tcPr>
          <w:p w14:paraId="778CFB82">
            <w:pPr>
              <w:widowControl/>
              <w:spacing w:line="360" w:lineRule="auto"/>
              <w:rPr>
                <w:rFonts w:ascii="Times New Roman" w:hAnsi="Times New Roman" w:eastAsia="宋体" w:cs="Times New Roman"/>
                <w:color w:val="000000"/>
                <w:kern w:val="0"/>
                <w:szCs w:val="20"/>
              </w:rPr>
            </w:pPr>
            <w:r>
              <w:rPr>
                <w:rFonts w:hint="eastAsia" w:ascii="Times New Roman" w:hAnsi="Times New Roman" w:eastAsia="宋体" w:cs="Times New Roman"/>
                <w:color w:val="000000"/>
                <w:kern w:val="0"/>
                <w:szCs w:val="20"/>
              </w:rPr>
              <w:t>浸出物重</w:t>
            </w:r>
            <w:r>
              <w:rPr>
                <w:rFonts w:ascii="Times New Roman" w:hAnsi="Times New Roman" w:eastAsia="宋体" w:cs="Times New Roman"/>
                <w:color w:val="000000"/>
                <w:kern w:val="0"/>
                <w:szCs w:val="20"/>
              </w:rPr>
              <w:t>g</w:t>
            </w:r>
          </w:p>
        </w:tc>
        <w:tc>
          <w:tcPr>
            <w:tcW w:w="1436" w:type="dxa"/>
            <w:tcBorders>
              <w:top w:val="single" w:color="auto" w:sz="4" w:space="0"/>
              <w:left w:val="nil"/>
              <w:bottom w:val="nil"/>
              <w:right w:val="nil"/>
            </w:tcBorders>
            <w:shd w:val="clear" w:color="auto" w:fill="auto"/>
            <w:noWrap/>
            <w:vAlign w:val="center"/>
          </w:tcPr>
          <w:p w14:paraId="066DFD55">
            <w:pPr>
              <w:widowControl/>
              <w:spacing w:line="360" w:lineRule="auto"/>
              <w:rPr>
                <w:rFonts w:ascii="Times New Roman" w:hAnsi="Times New Roman" w:eastAsia="宋体" w:cs="Times New Roman"/>
                <w:color w:val="000000"/>
                <w:kern w:val="0"/>
                <w:szCs w:val="20"/>
              </w:rPr>
            </w:pPr>
            <w:r>
              <w:rPr>
                <w:rFonts w:hint="eastAsia" w:ascii="Times New Roman" w:hAnsi="Times New Roman" w:eastAsia="宋体" w:cs="Times New Roman"/>
                <w:color w:val="000000"/>
                <w:kern w:val="0"/>
                <w:szCs w:val="20"/>
              </w:rPr>
              <w:t>浸出物</w:t>
            </w:r>
            <w:r>
              <w:rPr>
                <w:rFonts w:ascii="Times New Roman" w:hAnsi="Times New Roman" w:eastAsia="宋体" w:cs="Times New Roman"/>
                <w:color w:val="000000"/>
                <w:kern w:val="0"/>
                <w:szCs w:val="20"/>
              </w:rPr>
              <w:t>%</w:t>
            </w:r>
          </w:p>
        </w:tc>
      </w:tr>
      <w:tr w14:paraId="0F8F63FE">
        <w:tblPrEx>
          <w:tblCellMar>
            <w:top w:w="0" w:type="dxa"/>
            <w:left w:w="108" w:type="dxa"/>
            <w:bottom w:w="0" w:type="dxa"/>
            <w:right w:w="108" w:type="dxa"/>
          </w:tblCellMar>
        </w:tblPrEx>
        <w:trPr>
          <w:trHeight w:val="288" w:hRule="atLeast"/>
          <w:jc w:val="center"/>
        </w:trPr>
        <w:tc>
          <w:tcPr>
            <w:tcW w:w="822" w:type="dxa"/>
            <w:tcBorders>
              <w:top w:val="single" w:color="auto" w:sz="4" w:space="0"/>
              <w:left w:val="nil"/>
              <w:bottom w:val="nil"/>
              <w:right w:val="nil"/>
            </w:tcBorders>
            <w:shd w:val="clear" w:color="000000" w:fill="FFFFFF"/>
            <w:vAlign w:val="center"/>
          </w:tcPr>
          <w:p w14:paraId="399C66B1">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1</w:t>
            </w:r>
          </w:p>
        </w:tc>
        <w:tc>
          <w:tcPr>
            <w:tcW w:w="766" w:type="dxa"/>
            <w:tcBorders>
              <w:top w:val="single" w:color="auto" w:sz="4" w:space="0"/>
              <w:left w:val="nil"/>
              <w:bottom w:val="nil"/>
              <w:right w:val="nil"/>
            </w:tcBorders>
            <w:shd w:val="clear" w:color="000000" w:fill="FFFFFF"/>
            <w:noWrap/>
            <w:vAlign w:val="center"/>
          </w:tcPr>
          <w:p w14:paraId="1A8CCCBE">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JXTG1</w:t>
            </w:r>
          </w:p>
        </w:tc>
        <w:tc>
          <w:tcPr>
            <w:tcW w:w="916" w:type="dxa"/>
            <w:tcBorders>
              <w:top w:val="single" w:color="auto" w:sz="4" w:space="0"/>
              <w:left w:val="nil"/>
              <w:bottom w:val="nil"/>
              <w:right w:val="nil"/>
            </w:tcBorders>
            <w:shd w:val="clear" w:color="000000" w:fill="FFFFFF"/>
            <w:noWrap/>
            <w:vAlign w:val="center"/>
          </w:tcPr>
          <w:p w14:paraId="5AFB1065">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2.0047</w:t>
            </w:r>
          </w:p>
        </w:tc>
        <w:tc>
          <w:tcPr>
            <w:tcW w:w="1036" w:type="dxa"/>
            <w:tcBorders>
              <w:top w:val="single" w:color="auto" w:sz="4" w:space="0"/>
              <w:left w:val="nil"/>
              <w:bottom w:val="nil"/>
              <w:right w:val="nil"/>
            </w:tcBorders>
            <w:shd w:val="clear" w:color="000000" w:fill="FFFFFF"/>
            <w:noWrap/>
            <w:vAlign w:val="center"/>
          </w:tcPr>
          <w:p w14:paraId="6DA84D88">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50</w:t>
            </w:r>
          </w:p>
        </w:tc>
        <w:tc>
          <w:tcPr>
            <w:tcW w:w="1036" w:type="dxa"/>
            <w:tcBorders>
              <w:top w:val="single" w:color="auto" w:sz="4" w:space="0"/>
              <w:left w:val="nil"/>
              <w:bottom w:val="nil"/>
              <w:right w:val="nil"/>
            </w:tcBorders>
            <w:shd w:val="clear" w:color="000000" w:fill="FFFFFF"/>
            <w:noWrap/>
            <w:vAlign w:val="center"/>
          </w:tcPr>
          <w:p w14:paraId="65F510C2">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25</w:t>
            </w:r>
          </w:p>
        </w:tc>
        <w:tc>
          <w:tcPr>
            <w:tcW w:w="1155" w:type="dxa"/>
            <w:tcBorders>
              <w:top w:val="single" w:color="auto" w:sz="4" w:space="0"/>
              <w:left w:val="nil"/>
              <w:bottom w:val="nil"/>
              <w:right w:val="nil"/>
            </w:tcBorders>
            <w:shd w:val="clear" w:color="000000" w:fill="FFFFFF"/>
            <w:noWrap/>
            <w:vAlign w:val="center"/>
          </w:tcPr>
          <w:p w14:paraId="3EEE1797">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65.7137</w:t>
            </w:r>
          </w:p>
        </w:tc>
        <w:tc>
          <w:tcPr>
            <w:tcW w:w="1258" w:type="dxa"/>
            <w:tcBorders>
              <w:top w:val="single" w:color="auto" w:sz="4" w:space="0"/>
              <w:left w:val="nil"/>
              <w:bottom w:val="nil"/>
              <w:right w:val="nil"/>
            </w:tcBorders>
            <w:shd w:val="clear" w:color="000000" w:fill="FFFFFF"/>
            <w:noWrap/>
            <w:vAlign w:val="center"/>
          </w:tcPr>
          <w:p w14:paraId="59E24417">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66.4719</w:t>
            </w:r>
          </w:p>
        </w:tc>
        <w:tc>
          <w:tcPr>
            <w:tcW w:w="1155" w:type="dxa"/>
            <w:tcBorders>
              <w:top w:val="single" w:color="auto" w:sz="4" w:space="0"/>
              <w:left w:val="nil"/>
              <w:bottom w:val="nil"/>
              <w:right w:val="nil"/>
            </w:tcBorders>
            <w:shd w:val="clear" w:color="000000" w:fill="FFFFFF"/>
            <w:noWrap/>
            <w:vAlign w:val="center"/>
          </w:tcPr>
          <w:p w14:paraId="22B35748">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0.7582</w:t>
            </w:r>
          </w:p>
        </w:tc>
        <w:tc>
          <w:tcPr>
            <w:tcW w:w="1436" w:type="dxa"/>
            <w:tcBorders>
              <w:top w:val="single" w:color="auto" w:sz="4" w:space="0"/>
              <w:left w:val="nil"/>
              <w:bottom w:val="nil"/>
              <w:right w:val="nil"/>
            </w:tcBorders>
            <w:shd w:val="clear" w:color="000000" w:fill="FFFFFF"/>
            <w:noWrap/>
            <w:vAlign w:val="center"/>
          </w:tcPr>
          <w:p w14:paraId="46111296">
            <w:pPr>
              <w:widowControl/>
              <w:spacing w:line="360" w:lineRule="auto"/>
              <w:rPr>
                <w:rFonts w:ascii="Times New Roman" w:hAnsi="Times New Roman" w:eastAsia="宋体" w:cs="Times New Roman"/>
                <w:b/>
                <w:bCs/>
                <w:kern w:val="0"/>
                <w:szCs w:val="20"/>
              </w:rPr>
            </w:pPr>
            <w:r>
              <w:rPr>
                <w:rFonts w:ascii="Times New Roman" w:hAnsi="Times New Roman" w:eastAsia="宋体" w:cs="Times New Roman"/>
                <w:b/>
                <w:bCs/>
                <w:kern w:val="0"/>
                <w:szCs w:val="20"/>
              </w:rPr>
              <w:t>75.64224073</w:t>
            </w:r>
          </w:p>
        </w:tc>
      </w:tr>
      <w:tr w14:paraId="3D3C7682">
        <w:tblPrEx>
          <w:tblCellMar>
            <w:top w:w="0" w:type="dxa"/>
            <w:left w:w="108" w:type="dxa"/>
            <w:bottom w:w="0" w:type="dxa"/>
            <w:right w:w="108" w:type="dxa"/>
          </w:tblCellMar>
        </w:tblPrEx>
        <w:trPr>
          <w:trHeight w:val="288" w:hRule="atLeast"/>
          <w:jc w:val="center"/>
        </w:trPr>
        <w:tc>
          <w:tcPr>
            <w:tcW w:w="822" w:type="dxa"/>
            <w:tcBorders>
              <w:top w:val="nil"/>
              <w:left w:val="nil"/>
              <w:bottom w:val="nil"/>
              <w:right w:val="nil"/>
            </w:tcBorders>
            <w:shd w:val="clear" w:color="000000" w:fill="FFFFFF"/>
            <w:vAlign w:val="center"/>
          </w:tcPr>
          <w:p w14:paraId="473488EF">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2</w:t>
            </w:r>
          </w:p>
        </w:tc>
        <w:tc>
          <w:tcPr>
            <w:tcW w:w="766" w:type="dxa"/>
            <w:tcBorders>
              <w:top w:val="nil"/>
              <w:left w:val="nil"/>
              <w:bottom w:val="nil"/>
              <w:right w:val="nil"/>
            </w:tcBorders>
            <w:shd w:val="clear" w:color="000000" w:fill="FFFFFF"/>
            <w:noWrap/>
            <w:vAlign w:val="center"/>
          </w:tcPr>
          <w:p w14:paraId="0E5E235F">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JXTG2</w:t>
            </w:r>
          </w:p>
        </w:tc>
        <w:tc>
          <w:tcPr>
            <w:tcW w:w="916" w:type="dxa"/>
            <w:tcBorders>
              <w:top w:val="nil"/>
              <w:left w:val="nil"/>
              <w:bottom w:val="nil"/>
              <w:right w:val="nil"/>
            </w:tcBorders>
            <w:shd w:val="clear" w:color="000000" w:fill="FFFFFF"/>
            <w:noWrap/>
            <w:vAlign w:val="center"/>
          </w:tcPr>
          <w:p w14:paraId="21B77B15">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2.0004</w:t>
            </w:r>
          </w:p>
        </w:tc>
        <w:tc>
          <w:tcPr>
            <w:tcW w:w="1036" w:type="dxa"/>
            <w:tcBorders>
              <w:top w:val="nil"/>
              <w:left w:val="nil"/>
              <w:bottom w:val="nil"/>
              <w:right w:val="nil"/>
            </w:tcBorders>
            <w:shd w:val="clear" w:color="000000" w:fill="FFFFFF"/>
            <w:noWrap/>
            <w:vAlign w:val="center"/>
          </w:tcPr>
          <w:p w14:paraId="601F7A55">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50</w:t>
            </w:r>
          </w:p>
        </w:tc>
        <w:tc>
          <w:tcPr>
            <w:tcW w:w="1036" w:type="dxa"/>
            <w:tcBorders>
              <w:top w:val="nil"/>
              <w:left w:val="nil"/>
              <w:bottom w:val="nil"/>
              <w:right w:val="nil"/>
            </w:tcBorders>
            <w:shd w:val="clear" w:color="000000" w:fill="FFFFFF"/>
            <w:noWrap/>
            <w:vAlign w:val="center"/>
          </w:tcPr>
          <w:p w14:paraId="00145B52">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25</w:t>
            </w:r>
          </w:p>
        </w:tc>
        <w:tc>
          <w:tcPr>
            <w:tcW w:w="1155" w:type="dxa"/>
            <w:tcBorders>
              <w:top w:val="nil"/>
              <w:left w:val="nil"/>
              <w:bottom w:val="nil"/>
              <w:right w:val="nil"/>
            </w:tcBorders>
            <w:shd w:val="clear" w:color="000000" w:fill="FFFFFF"/>
            <w:noWrap/>
            <w:vAlign w:val="center"/>
          </w:tcPr>
          <w:p w14:paraId="7CBE645D">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69.9285</w:t>
            </w:r>
          </w:p>
        </w:tc>
        <w:tc>
          <w:tcPr>
            <w:tcW w:w="1258" w:type="dxa"/>
            <w:tcBorders>
              <w:top w:val="nil"/>
              <w:left w:val="nil"/>
              <w:bottom w:val="nil"/>
              <w:right w:val="nil"/>
            </w:tcBorders>
            <w:shd w:val="clear" w:color="000000" w:fill="FFFFFF"/>
            <w:noWrap/>
            <w:vAlign w:val="center"/>
          </w:tcPr>
          <w:p w14:paraId="271053B9">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70.6655</w:t>
            </w:r>
          </w:p>
        </w:tc>
        <w:tc>
          <w:tcPr>
            <w:tcW w:w="1155" w:type="dxa"/>
            <w:tcBorders>
              <w:top w:val="nil"/>
              <w:left w:val="nil"/>
              <w:bottom w:val="nil"/>
              <w:right w:val="nil"/>
            </w:tcBorders>
            <w:shd w:val="clear" w:color="000000" w:fill="FFFFFF"/>
            <w:noWrap/>
            <w:vAlign w:val="center"/>
          </w:tcPr>
          <w:p w14:paraId="4B4C1A71">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0.737</w:t>
            </w:r>
          </w:p>
        </w:tc>
        <w:tc>
          <w:tcPr>
            <w:tcW w:w="1436" w:type="dxa"/>
            <w:tcBorders>
              <w:top w:val="nil"/>
              <w:left w:val="nil"/>
              <w:bottom w:val="nil"/>
              <w:right w:val="nil"/>
            </w:tcBorders>
            <w:shd w:val="clear" w:color="000000" w:fill="FFFFFF"/>
            <w:noWrap/>
            <w:vAlign w:val="center"/>
          </w:tcPr>
          <w:p w14:paraId="061538A7">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73.68526295</w:t>
            </w:r>
          </w:p>
        </w:tc>
      </w:tr>
      <w:tr w14:paraId="359721A7">
        <w:tblPrEx>
          <w:tblCellMar>
            <w:top w:w="0" w:type="dxa"/>
            <w:left w:w="108" w:type="dxa"/>
            <w:bottom w:w="0" w:type="dxa"/>
            <w:right w:w="108" w:type="dxa"/>
          </w:tblCellMar>
        </w:tblPrEx>
        <w:trPr>
          <w:trHeight w:val="288" w:hRule="atLeast"/>
          <w:jc w:val="center"/>
        </w:trPr>
        <w:tc>
          <w:tcPr>
            <w:tcW w:w="822" w:type="dxa"/>
            <w:tcBorders>
              <w:top w:val="nil"/>
              <w:left w:val="nil"/>
              <w:bottom w:val="nil"/>
              <w:right w:val="nil"/>
            </w:tcBorders>
            <w:shd w:val="clear" w:color="000000" w:fill="FFFFFF"/>
            <w:vAlign w:val="center"/>
          </w:tcPr>
          <w:p w14:paraId="7EDACB76">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3</w:t>
            </w:r>
          </w:p>
        </w:tc>
        <w:tc>
          <w:tcPr>
            <w:tcW w:w="766" w:type="dxa"/>
            <w:tcBorders>
              <w:top w:val="nil"/>
              <w:left w:val="nil"/>
              <w:bottom w:val="nil"/>
              <w:right w:val="nil"/>
            </w:tcBorders>
            <w:shd w:val="clear" w:color="000000" w:fill="FFFFFF"/>
            <w:noWrap/>
            <w:vAlign w:val="center"/>
          </w:tcPr>
          <w:p w14:paraId="54F4097D">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JXTG3</w:t>
            </w:r>
          </w:p>
        </w:tc>
        <w:tc>
          <w:tcPr>
            <w:tcW w:w="916" w:type="dxa"/>
            <w:tcBorders>
              <w:top w:val="nil"/>
              <w:left w:val="nil"/>
              <w:bottom w:val="nil"/>
              <w:right w:val="nil"/>
            </w:tcBorders>
            <w:shd w:val="clear" w:color="000000" w:fill="FFFFFF"/>
            <w:noWrap/>
            <w:vAlign w:val="center"/>
          </w:tcPr>
          <w:p w14:paraId="7FCE7AA2">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2.0013</w:t>
            </w:r>
          </w:p>
        </w:tc>
        <w:tc>
          <w:tcPr>
            <w:tcW w:w="1036" w:type="dxa"/>
            <w:tcBorders>
              <w:top w:val="nil"/>
              <w:left w:val="nil"/>
              <w:bottom w:val="nil"/>
              <w:right w:val="nil"/>
            </w:tcBorders>
            <w:shd w:val="clear" w:color="000000" w:fill="FFFFFF"/>
            <w:noWrap/>
            <w:vAlign w:val="center"/>
          </w:tcPr>
          <w:p w14:paraId="105E5DE2">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50</w:t>
            </w:r>
          </w:p>
        </w:tc>
        <w:tc>
          <w:tcPr>
            <w:tcW w:w="1036" w:type="dxa"/>
            <w:tcBorders>
              <w:top w:val="nil"/>
              <w:left w:val="nil"/>
              <w:bottom w:val="nil"/>
              <w:right w:val="nil"/>
            </w:tcBorders>
            <w:shd w:val="clear" w:color="000000" w:fill="FFFFFF"/>
            <w:noWrap/>
            <w:vAlign w:val="center"/>
          </w:tcPr>
          <w:p w14:paraId="77291E35">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25</w:t>
            </w:r>
          </w:p>
        </w:tc>
        <w:tc>
          <w:tcPr>
            <w:tcW w:w="1155" w:type="dxa"/>
            <w:tcBorders>
              <w:top w:val="nil"/>
              <w:left w:val="nil"/>
              <w:bottom w:val="nil"/>
              <w:right w:val="nil"/>
            </w:tcBorders>
            <w:shd w:val="clear" w:color="000000" w:fill="FFFFFF"/>
            <w:noWrap/>
            <w:vAlign w:val="center"/>
          </w:tcPr>
          <w:p w14:paraId="7FE45F41">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65.7115</w:t>
            </w:r>
          </w:p>
        </w:tc>
        <w:tc>
          <w:tcPr>
            <w:tcW w:w="1258" w:type="dxa"/>
            <w:tcBorders>
              <w:top w:val="nil"/>
              <w:left w:val="nil"/>
              <w:bottom w:val="nil"/>
              <w:right w:val="nil"/>
            </w:tcBorders>
            <w:shd w:val="clear" w:color="000000" w:fill="FFFFFF"/>
            <w:noWrap/>
            <w:vAlign w:val="center"/>
          </w:tcPr>
          <w:p w14:paraId="15DDC61D">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66.5007</w:t>
            </w:r>
          </w:p>
        </w:tc>
        <w:tc>
          <w:tcPr>
            <w:tcW w:w="1155" w:type="dxa"/>
            <w:tcBorders>
              <w:top w:val="nil"/>
              <w:left w:val="nil"/>
              <w:bottom w:val="nil"/>
              <w:right w:val="nil"/>
            </w:tcBorders>
            <w:shd w:val="clear" w:color="000000" w:fill="FFFFFF"/>
            <w:noWrap/>
            <w:vAlign w:val="center"/>
          </w:tcPr>
          <w:p w14:paraId="5A17F2F8">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0.7892</w:t>
            </w:r>
          </w:p>
        </w:tc>
        <w:tc>
          <w:tcPr>
            <w:tcW w:w="1436" w:type="dxa"/>
            <w:tcBorders>
              <w:top w:val="nil"/>
              <w:left w:val="nil"/>
              <w:bottom w:val="nil"/>
              <w:right w:val="nil"/>
            </w:tcBorders>
            <w:shd w:val="clear" w:color="000000" w:fill="FFFFFF"/>
            <w:noWrap/>
            <w:vAlign w:val="center"/>
          </w:tcPr>
          <w:p w14:paraId="7BF6A537">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78.86873532</w:t>
            </w:r>
          </w:p>
        </w:tc>
      </w:tr>
      <w:tr w14:paraId="48F52721">
        <w:tblPrEx>
          <w:tblCellMar>
            <w:top w:w="0" w:type="dxa"/>
            <w:left w:w="108" w:type="dxa"/>
            <w:bottom w:w="0" w:type="dxa"/>
            <w:right w:w="108" w:type="dxa"/>
          </w:tblCellMar>
        </w:tblPrEx>
        <w:trPr>
          <w:trHeight w:val="288" w:hRule="atLeast"/>
          <w:jc w:val="center"/>
        </w:trPr>
        <w:tc>
          <w:tcPr>
            <w:tcW w:w="822" w:type="dxa"/>
            <w:tcBorders>
              <w:top w:val="nil"/>
              <w:left w:val="nil"/>
              <w:bottom w:val="nil"/>
              <w:right w:val="nil"/>
            </w:tcBorders>
            <w:shd w:val="clear" w:color="000000" w:fill="FFFFFF"/>
            <w:vAlign w:val="center"/>
          </w:tcPr>
          <w:p w14:paraId="6FFED255">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4</w:t>
            </w:r>
          </w:p>
        </w:tc>
        <w:tc>
          <w:tcPr>
            <w:tcW w:w="766" w:type="dxa"/>
            <w:tcBorders>
              <w:top w:val="nil"/>
              <w:left w:val="nil"/>
              <w:bottom w:val="nil"/>
              <w:right w:val="nil"/>
            </w:tcBorders>
            <w:shd w:val="clear" w:color="000000" w:fill="FFFFFF"/>
            <w:noWrap/>
            <w:vAlign w:val="center"/>
          </w:tcPr>
          <w:p w14:paraId="3E10FD0D">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JXAF1</w:t>
            </w:r>
          </w:p>
        </w:tc>
        <w:tc>
          <w:tcPr>
            <w:tcW w:w="916" w:type="dxa"/>
            <w:tcBorders>
              <w:top w:val="nil"/>
              <w:left w:val="nil"/>
              <w:bottom w:val="nil"/>
              <w:right w:val="nil"/>
            </w:tcBorders>
            <w:shd w:val="clear" w:color="000000" w:fill="FFFFFF"/>
            <w:noWrap/>
            <w:vAlign w:val="center"/>
          </w:tcPr>
          <w:p w14:paraId="2A232C8C">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2.0070</w:t>
            </w:r>
          </w:p>
        </w:tc>
        <w:tc>
          <w:tcPr>
            <w:tcW w:w="1036" w:type="dxa"/>
            <w:tcBorders>
              <w:top w:val="nil"/>
              <w:left w:val="nil"/>
              <w:bottom w:val="nil"/>
              <w:right w:val="nil"/>
            </w:tcBorders>
            <w:shd w:val="clear" w:color="000000" w:fill="FFFFFF"/>
            <w:noWrap/>
            <w:vAlign w:val="center"/>
          </w:tcPr>
          <w:p w14:paraId="65B11AC4">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50</w:t>
            </w:r>
          </w:p>
        </w:tc>
        <w:tc>
          <w:tcPr>
            <w:tcW w:w="1036" w:type="dxa"/>
            <w:tcBorders>
              <w:top w:val="nil"/>
              <w:left w:val="nil"/>
              <w:bottom w:val="nil"/>
              <w:right w:val="nil"/>
            </w:tcBorders>
            <w:shd w:val="clear" w:color="000000" w:fill="FFFFFF"/>
            <w:noWrap/>
            <w:vAlign w:val="center"/>
          </w:tcPr>
          <w:p w14:paraId="7D82E9A9">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25</w:t>
            </w:r>
          </w:p>
        </w:tc>
        <w:tc>
          <w:tcPr>
            <w:tcW w:w="1155" w:type="dxa"/>
            <w:tcBorders>
              <w:top w:val="nil"/>
              <w:left w:val="nil"/>
              <w:bottom w:val="nil"/>
              <w:right w:val="nil"/>
            </w:tcBorders>
            <w:shd w:val="clear" w:color="000000" w:fill="FFFFFF"/>
            <w:noWrap/>
            <w:vAlign w:val="center"/>
          </w:tcPr>
          <w:p w14:paraId="3450A136">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65.7110</w:t>
            </w:r>
          </w:p>
        </w:tc>
        <w:tc>
          <w:tcPr>
            <w:tcW w:w="1258" w:type="dxa"/>
            <w:tcBorders>
              <w:top w:val="nil"/>
              <w:left w:val="nil"/>
              <w:bottom w:val="nil"/>
              <w:right w:val="nil"/>
            </w:tcBorders>
            <w:shd w:val="clear" w:color="000000" w:fill="FFFFFF"/>
            <w:noWrap/>
            <w:vAlign w:val="center"/>
          </w:tcPr>
          <w:p w14:paraId="4D06652F">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66.4640</w:t>
            </w:r>
          </w:p>
        </w:tc>
        <w:tc>
          <w:tcPr>
            <w:tcW w:w="1155" w:type="dxa"/>
            <w:tcBorders>
              <w:top w:val="nil"/>
              <w:left w:val="nil"/>
              <w:bottom w:val="nil"/>
              <w:right w:val="nil"/>
            </w:tcBorders>
            <w:shd w:val="clear" w:color="000000" w:fill="FFFFFF"/>
            <w:noWrap/>
            <w:vAlign w:val="center"/>
          </w:tcPr>
          <w:p w14:paraId="54A9C49A">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0.753</w:t>
            </w:r>
          </w:p>
        </w:tc>
        <w:tc>
          <w:tcPr>
            <w:tcW w:w="1436" w:type="dxa"/>
            <w:tcBorders>
              <w:top w:val="nil"/>
              <w:left w:val="nil"/>
              <w:bottom w:val="nil"/>
              <w:right w:val="nil"/>
            </w:tcBorders>
            <w:shd w:val="clear" w:color="000000" w:fill="FFFFFF"/>
            <w:noWrap/>
            <w:vAlign w:val="center"/>
          </w:tcPr>
          <w:p w14:paraId="56B795C6">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75.03736921</w:t>
            </w:r>
          </w:p>
        </w:tc>
      </w:tr>
      <w:tr w14:paraId="6B724C4E">
        <w:tblPrEx>
          <w:tblCellMar>
            <w:top w:w="0" w:type="dxa"/>
            <w:left w:w="108" w:type="dxa"/>
            <w:bottom w:w="0" w:type="dxa"/>
            <w:right w:w="108" w:type="dxa"/>
          </w:tblCellMar>
        </w:tblPrEx>
        <w:trPr>
          <w:trHeight w:val="288" w:hRule="atLeast"/>
          <w:jc w:val="center"/>
        </w:trPr>
        <w:tc>
          <w:tcPr>
            <w:tcW w:w="822" w:type="dxa"/>
            <w:tcBorders>
              <w:top w:val="nil"/>
              <w:left w:val="nil"/>
              <w:bottom w:val="nil"/>
              <w:right w:val="nil"/>
            </w:tcBorders>
            <w:shd w:val="clear" w:color="000000" w:fill="FFFFFF"/>
            <w:vAlign w:val="center"/>
          </w:tcPr>
          <w:p w14:paraId="1D11D476">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5</w:t>
            </w:r>
          </w:p>
        </w:tc>
        <w:tc>
          <w:tcPr>
            <w:tcW w:w="766" w:type="dxa"/>
            <w:tcBorders>
              <w:top w:val="nil"/>
              <w:left w:val="nil"/>
              <w:bottom w:val="nil"/>
              <w:right w:val="nil"/>
            </w:tcBorders>
            <w:shd w:val="clear" w:color="000000" w:fill="FFFFFF"/>
            <w:noWrap/>
            <w:vAlign w:val="center"/>
          </w:tcPr>
          <w:p w14:paraId="36997C08">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JXXS1</w:t>
            </w:r>
          </w:p>
        </w:tc>
        <w:tc>
          <w:tcPr>
            <w:tcW w:w="916" w:type="dxa"/>
            <w:tcBorders>
              <w:top w:val="nil"/>
              <w:left w:val="nil"/>
              <w:bottom w:val="nil"/>
              <w:right w:val="nil"/>
            </w:tcBorders>
            <w:shd w:val="clear" w:color="000000" w:fill="FFFFFF"/>
            <w:noWrap/>
            <w:vAlign w:val="center"/>
          </w:tcPr>
          <w:p w14:paraId="16A71981">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2.0081</w:t>
            </w:r>
          </w:p>
        </w:tc>
        <w:tc>
          <w:tcPr>
            <w:tcW w:w="1036" w:type="dxa"/>
            <w:tcBorders>
              <w:top w:val="nil"/>
              <w:left w:val="nil"/>
              <w:bottom w:val="nil"/>
              <w:right w:val="nil"/>
            </w:tcBorders>
            <w:shd w:val="clear" w:color="000000" w:fill="FFFFFF"/>
            <w:noWrap/>
            <w:vAlign w:val="center"/>
          </w:tcPr>
          <w:p w14:paraId="5283F49D">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50</w:t>
            </w:r>
          </w:p>
        </w:tc>
        <w:tc>
          <w:tcPr>
            <w:tcW w:w="1036" w:type="dxa"/>
            <w:tcBorders>
              <w:top w:val="nil"/>
              <w:left w:val="nil"/>
              <w:bottom w:val="nil"/>
              <w:right w:val="nil"/>
            </w:tcBorders>
            <w:shd w:val="clear" w:color="000000" w:fill="FFFFFF"/>
            <w:noWrap/>
            <w:vAlign w:val="center"/>
          </w:tcPr>
          <w:p w14:paraId="5682ED76">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25</w:t>
            </w:r>
          </w:p>
        </w:tc>
        <w:tc>
          <w:tcPr>
            <w:tcW w:w="1155" w:type="dxa"/>
            <w:tcBorders>
              <w:top w:val="nil"/>
              <w:left w:val="nil"/>
              <w:bottom w:val="nil"/>
              <w:right w:val="nil"/>
            </w:tcBorders>
            <w:shd w:val="clear" w:color="000000" w:fill="FFFFFF"/>
            <w:noWrap/>
            <w:vAlign w:val="center"/>
          </w:tcPr>
          <w:p w14:paraId="79E2932C">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69.9281</w:t>
            </w:r>
          </w:p>
        </w:tc>
        <w:tc>
          <w:tcPr>
            <w:tcW w:w="1258" w:type="dxa"/>
            <w:tcBorders>
              <w:top w:val="nil"/>
              <w:left w:val="nil"/>
              <w:bottom w:val="nil"/>
              <w:right w:val="nil"/>
            </w:tcBorders>
            <w:shd w:val="clear" w:color="000000" w:fill="FFFFFF"/>
            <w:noWrap/>
            <w:vAlign w:val="center"/>
          </w:tcPr>
          <w:p w14:paraId="435CECD7">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70.7258</w:t>
            </w:r>
          </w:p>
        </w:tc>
        <w:tc>
          <w:tcPr>
            <w:tcW w:w="1155" w:type="dxa"/>
            <w:tcBorders>
              <w:top w:val="nil"/>
              <w:left w:val="nil"/>
              <w:bottom w:val="nil"/>
              <w:right w:val="nil"/>
            </w:tcBorders>
            <w:shd w:val="clear" w:color="000000" w:fill="FFFFFF"/>
            <w:noWrap/>
            <w:vAlign w:val="center"/>
          </w:tcPr>
          <w:p w14:paraId="4B767488">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0.7977</w:t>
            </w:r>
          </w:p>
        </w:tc>
        <w:tc>
          <w:tcPr>
            <w:tcW w:w="1436" w:type="dxa"/>
            <w:tcBorders>
              <w:top w:val="nil"/>
              <w:left w:val="nil"/>
              <w:bottom w:val="nil"/>
              <w:right w:val="nil"/>
            </w:tcBorders>
            <w:shd w:val="clear" w:color="000000" w:fill="FFFFFF"/>
            <w:noWrap/>
            <w:vAlign w:val="center"/>
          </w:tcPr>
          <w:p w14:paraId="5F140302">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79.44823465</w:t>
            </w:r>
          </w:p>
        </w:tc>
      </w:tr>
      <w:tr w14:paraId="4E84D855">
        <w:tblPrEx>
          <w:tblCellMar>
            <w:top w:w="0" w:type="dxa"/>
            <w:left w:w="108" w:type="dxa"/>
            <w:bottom w:w="0" w:type="dxa"/>
            <w:right w:w="108" w:type="dxa"/>
          </w:tblCellMar>
        </w:tblPrEx>
        <w:trPr>
          <w:trHeight w:val="288" w:hRule="atLeast"/>
          <w:jc w:val="center"/>
        </w:trPr>
        <w:tc>
          <w:tcPr>
            <w:tcW w:w="822" w:type="dxa"/>
            <w:tcBorders>
              <w:top w:val="nil"/>
              <w:left w:val="nil"/>
              <w:bottom w:val="nil"/>
              <w:right w:val="nil"/>
            </w:tcBorders>
            <w:shd w:val="clear" w:color="000000" w:fill="FFFFFF"/>
            <w:vAlign w:val="center"/>
          </w:tcPr>
          <w:p w14:paraId="465949BE">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6</w:t>
            </w:r>
          </w:p>
        </w:tc>
        <w:tc>
          <w:tcPr>
            <w:tcW w:w="766" w:type="dxa"/>
            <w:tcBorders>
              <w:top w:val="nil"/>
              <w:left w:val="nil"/>
              <w:bottom w:val="nil"/>
              <w:right w:val="nil"/>
            </w:tcBorders>
            <w:shd w:val="clear" w:color="000000" w:fill="FFFFFF"/>
            <w:noWrap/>
            <w:vAlign w:val="center"/>
          </w:tcPr>
          <w:p w14:paraId="21230BBC">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JXXS2</w:t>
            </w:r>
          </w:p>
        </w:tc>
        <w:tc>
          <w:tcPr>
            <w:tcW w:w="916" w:type="dxa"/>
            <w:tcBorders>
              <w:top w:val="nil"/>
              <w:left w:val="nil"/>
              <w:bottom w:val="nil"/>
              <w:right w:val="nil"/>
            </w:tcBorders>
            <w:shd w:val="clear" w:color="000000" w:fill="FFFFFF"/>
            <w:noWrap/>
            <w:vAlign w:val="center"/>
          </w:tcPr>
          <w:p w14:paraId="779B246D">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2.0015</w:t>
            </w:r>
          </w:p>
        </w:tc>
        <w:tc>
          <w:tcPr>
            <w:tcW w:w="1036" w:type="dxa"/>
            <w:tcBorders>
              <w:top w:val="nil"/>
              <w:left w:val="nil"/>
              <w:bottom w:val="nil"/>
              <w:right w:val="nil"/>
            </w:tcBorders>
            <w:shd w:val="clear" w:color="000000" w:fill="FFFFFF"/>
            <w:noWrap/>
            <w:vAlign w:val="center"/>
          </w:tcPr>
          <w:p w14:paraId="4DB3357F">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50</w:t>
            </w:r>
          </w:p>
        </w:tc>
        <w:tc>
          <w:tcPr>
            <w:tcW w:w="1036" w:type="dxa"/>
            <w:tcBorders>
              <w:top w:val="nil"/>
              <w:left w:val="nil"/>
              <w:bottom w:val="nil"/>
              <w:right w:val="nil"/>
            </w:tcBorders>
            <w:shd w:val="clear" w:color="000000" w:fill="FFFFFF"/>
            <w:noWrap/>
            <w:vAlign w:val="center"/>
          </w:tcPr>
          <w:p w14:paraId="16B06334">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25</w:t>
            </w:r>
          </w:p>
        </w:tc>
        <w:tc>
          <w:tcPr>
            <w:tcW w:w="1155" w:type="dxa"/>
            <w:tcBorders>
              <w:top w:val="nil"/>
              <w:left w:val="nil"/>
              <w:bottom w:val="nil"/>
              <w:right w:val="nil"/>
            </w:tcBorders>
            <w:shd w:val="clear" w:color="000000" w:fill="FFFFFF"/>
            <w:noWrap/>
            <w:vAlign w:val="center"/>
          </w:tcPr>
          <w:p w14:paraId="063EB74A">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49.5952</w:t>
            </w:r>
          </w:p>
        </w:tc>
        <w:tc>
          <w:tcPr>
            <w:tcW w:w="1258" w:type="dxa"/>
            <w:tcBorders>
              <w:top w:val="nil"/>
              <w:left w:val="nil"/>
              <w:bottom w:val="nil"/>
              <w:right w:val="nil"/>
            </w:tcBorders>
            <w:shd w:val="clear" w:color="000000" w:fill="FFFFFF"/>
            <w:noWrap/>
            <w:vAlign w:val="center"/>
          </w:tcPr>
          <w:p w14:paraId="5561BFA8">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50.2788</w:t>
            </w:r>
          </w:p>
        </w:tc>
        <w:tc>
          <w:tcPr>
            <w:tcW w:w="1155" w:type="dxa"/>
            <w:tcBorders>
              <w:top w:val="nil"/>
              <w:left w:val="nil"/>
              <w:bottom w:val="nil"/>
              <w:right w:val="nil"/>
            </w:tcBorders>
            <w:shd w:val="clear" w:color="000000" w:fill="FFFFFF"/>
            <w:noWrap/>
            <w:vAlign w:val="center"/>
          </w:tcPr>
          <w:p w14:paraId="50AA85CA">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0.6836</w:t>
            </w:r>
          </w:p>
        </w:tc>
        <w:tc>
          <w:tcPr>
            <w:tcW w:w="1436" w:type="dxa"/>
            <w:tcBorders>
              <w:top w:val="nil"/>
              <w:left w:val="nil"/>
              <w:bottom w:val="nil"/>
              <w:right w:val="nil"/>
            </w:tcBorders>
            <w:shd w:val="clear" w:color="000000" w:fill="FFFFFF"/>
            <w:noWrap/>
            <w:vAlign w:val="center"/>
          </w:tcPr>
          <w:p w14:paraId="1681FFD9">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68.30876842</w:t>
            </w:r>
          </w:p>
        </w:tc>
      </w:tr>
      <w:tr w14:paraId="22014B1F">
        <w:tblPrEx>
          <w:tblCellMar>
            <w:top w:w="0" w:type="dxa"/>
            <w:left w:w="108" w:type="dxa"/>
            <w:bottom w:w="0" w:type="dxa"/>
            <w:right w:w="108" w:type="dxa"/>
          </w:tblCellMar>
        </w:tblPrEx>
        <w:trPr>
          <w:trHeight w:val="288" w:hRule="atLeast"/>
          <w:jc w:val="center"/>
        </w:trPr>
        <w:tc>
          <w:tcPr>
            <w:tcW w:w="822" w:type="dxa"/>
            <w:tcBorders>
              <w:top w:val="nil"/>
              <w:left w:val="nil"/>
              <w:bottom w:val="nil"/>
              <w:right w:val="nil"/>
            </w:tcBorders>
            <w:shd w:val="clear" w:color="000000" w:fill="FFFFFF"/>
            <w:vAlign w:val="center"/>
          </w:tcPr>
          <w:p w14:paraId="054DF3A5">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7</w:t>
            </w:r>
          </w:p>
        </w:tc>
        <w:tc>
          <w:tcPr>
            <w:tcW w:w="766" w:type="dxa"/>
            <w:tcBorders>
              <w:top w:val="nil"/>
              <w:left w:val="nil"/>
              <w:bottom w:val="nil"/>
              <w:right w:val="nil"/>
            </w:tcBorders>
            <w:shd w:val="clear" w:color="000000" w:fill="FFFFFF"/>
            <w:noWrap/>
            <w:vAlign w:val="center"/>
          </w:tcPr>
          <w:p w14:paraId="2B528ED7">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JXCY1</w:t>
            </w:r>
          </w:p>
        </w:tc>
        <w:tc>
          <w:tcPr>
            <w:tcW w:w="916" w:type="dxa"/>
            <w:tcBorders>
              <w:top w:val="nil"/>
              <w:left w:val="nil"/>
              <w:bottom w:val="nil"/>
              <w:right w:val="nil"/>
            </w:tcBorders>
            <w:shd w:val="clear" w:color="000000" w:fill="FFFFFF"/>
            <w:noWrap/>
            <w:vAlign w:val="center"/>
          </w:tcPr>
          <w:p w14:paraId="33236C72">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2.0043</w:t>
            </w:r>
          </w:p>
        </w:tc>
        <w:tc>
          <w:tcPr>
            <w:tcW w:w="1036" w:type="dxa"/>
            <w:tcBorders>
              <w:top w:val="nil"/>
              <w:left w:val="nil"/>
              <w:bottom w:val="nil"/>
              <w:right w:val="nil"/>
            </w:tcBorders>
            <w:shd w:val="clear" w:color="000000" w:fill="FFFFFF"/>
            <w:noWrap/>
            <w:vAlign w:val="center"/>
          </w:tcPr>
          <w:p w14:paraId="01201F3E">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50</w:t>
            </w:r>
          </w:p>
        </w:tc>
        <w:tc>
          <w:tcPr>
            <w:tcW w:w="1036" w:type="dxa"/>
            <w:tcBorders>
              <w:top w:val="nil"/>
              <w:left w:val="nil"/>
              <w:bottom w:val="nil"/>
              <w:right w:val="nil"/>
            </w:tcBorders>
            <w:shd w:val="clear" w:color="000000" w:fill="FFFFFF"/>
            <w:noWrap/>
            <w:vAlign w:val="center"/>
          </w:tcPr>
          <w:p w14:paraId="7847BBFC">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25</w:t>
            </w:r>
          </w:p>
        </w:tc>
        <w:tc>
          <w:tcPr>
            <w:tcW w:w="1155" w:type="dxa"/>
            <w:tcBorders>
              <w:top w:val="nil"/>
              <w:left w:val="nil"/>
              <w:bottom w:val="nil"/>
              <w:right w:val="nil"/>
            </w:tcBorders>
            <w:shd w:val="clear" w:color="000000" w:fill="FFFFFF"/>
            <w:noWrap/>
            <w:vAlign w:val="center"/>
          </w:tcPr>
          <w:p w14:paraId="17CF00C8">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65.7110</w:t>
            </w:r>
          </w:p>
        </w:tc>
        <w:tc>
          <w:tcPr>
            <w:tcW w:w="1258" w:type="dxa"/>
            <w:tcBorders>
              <w:top w:val="nil"/>
              <w:left w:val="nil"/>
              <w:bottom w:val="nil"/>
              <w:right w:val="nil"/>
            </w:tcBorders>
            <w:shd w:val="clear" w:color="000000" w:fill="FFFFFF"/>
            <w:noWrap/>
            <w:vAlign w:val="center"/>
          </w:tcPr>
          <w:p w14:paraId="207153D5">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66.4063</w:t>
            </w:r>
          </w:p>
        </w:tc>
        <w:tc>
          <w:tcPr>
            <w:tcW w:w="1155" w:type="dxa"/>
            <w:tcBorders>
              <w:top w:val="nil"/>
              <w:left w:val="nil"/>
              <w:bottom w:val="nil"/>
              <w:right w:val="nil"/>
            </w:tcBorders>
            <w:shd w:val="clear" w:color="000000" w:fill="FFFFFF"/>
            <w:noWrap/>
            <w:vAlign w:val="center"/>
          </w:tcPr>
          <w:p w14:paraId="5F40990D">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0.6953</w:t>
            </w:r>
          </w:p>
        </w:tc>
        <w:tc>
          <w:tcPr>
            <w:tcW w:w="1436" w:type="dxa"/>
            <w:tcBorders>
              <w:top w:val="nil"/>
              <w:left w:val="nil"/>
              <w:bottom w:val="nil"/>
              <w:right w:val="nil"/>
            </w:tcBorders>
            <w:shd w:val="clear" w:color="000000" w:fill="FFFFFF"/>
            <w:noWrap/>
            <w:vAlign w:val="center"/>
          </w:tcPr>
          <w:p w14:paraId="40AB7040">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69.38083121</w:t>
            </w:r>
          </w:p>
        </w:tc>
      </w:tr>
      <w:tr w14:paraId="6F9CC6F5">
        <w:tblPrEx>
          <w:tblCellMar>
            <w:top w:w="0" w:type="dxa"/>
            <w:left w:w="108" w:type="dxa"/>
            <w:bottom w:w="0" w:type="dxa"/>
            <w:right w:w="108" w:type="dxa"/>
          </w:tblCellMar>
        </w:tblPrEx>
        <w:trPr>
          <w:trHeight w:val="288" w:hRule="atLeast"/>
          <w:jc w:val="center"/>
        </w:trPr>
        <w:tc>
          <w:tcPr>
            <w:tcW w:w="822" w:type="dxa"/>
            <w:tcBorders>
              <w:top w:val="nil"/>
              <w:left w:val="nil"/>
              <w:bottom w:val="nil"/>
              <w:right w:val="nil"/>
            </w:tcBorders>
            <w:shd w:val="clear" w:color="000000" w:fill="FFFFFF"/>
            <w:vAlign w:val="center"/>
          </w:tcPr>
          <w:p w14:paraId="387328AC">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8</w:t>
            </w:r>
          </w:p>
        </w:tc>
        <w:tc>
          <w:tcPr>
            <w:tcW w:w="766" w:type="dxa"/>
            <w:tcBorders>
              <w:top w:val="nil"/>
              <w:left w:val="nil"/>
              <w:bottom w:val="nil"/>
              <w:right w:val="nil"/>
            </w:tcBorders>
            <w:shd w:val="clear" w:color="000000" w:fill="FFFFFF"/>
            <w:noWrap/>
            <w:vAlign w:val="center"/>
          </w:tcPr>
          <w:p w14:paraId="4E8E1281">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JXBY1</w:t>
            </w:r>
          </w:p>
        </w:tc>
        <w:tc>
          <w:tcPr>
            <w:tcW w:w="916" w:type="dxa"/>
            <w:tcBorders>
              <w:top w:val="nil"/>
              <w:left w:val="nil"/>
              <w:bottom w:val="nil"/>
              <w:right w:val="nil"/>
            </w:tcBorders>
            <w:shd w:val="clear" w:color="000000" w:fill="FFFFFF"/>
            <w:noWrap/>
            <w:vAlign w:val="center"/>
          </w:tcPr>
          <w:p w14:paraId="51A1F992">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2.0027</w:t>
            </w:r>
          </w:p>
        </w:tc>
        <w:tc>
          <w:tcPr>
            <w:tcW w:w="1036" w:type="dxa"/>
            <w:tcBorders>
              <w:top w:val="nil"/>
              <w:left w:val="nil"/>
              <w:bottom w:val="nil"/>
              <w:right w:val="nil"/>
            </w:tcBorders>
            <w:shd w:val="clear" w:color="000000" w:fill="FFFFFF"/>
            <w:noWrap/>
            <w:vAlign w:val="center"/>
          </w:tcPr>
          <w:p w14:paraId="18280B3F">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50</w:t>
            </w:r>
          </w:p>
        </w:tc>
        <w:tc>
          <w:tcPr>
            <w:tcW w:w="1036" w:type="dxa"/>
            <w:tcBorders>
              <w:top w:val="nil"/>
              <w:left w:val="nil"/>
              <w:bottom w:val="nil"/>
              <w:right w:val="nil"/>
            </w:tcBorders>
            <w:shd w:val="clear" w:color="000000" w:fill="FFFFFF"/>
            <w:noWrap/>
            <w:vAlign w:val="center"/>
          </w:tcPr>
          <w:p w14:paraId="3398F3EB">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25</w:t>
            </w:r>
          </w:p>
        </w:tc>
        <w:tc>
          <w:tcPr>
            <w:tcW w:w="1155" w:type="dxa"/>
            <w:tcBorders>
              <w:top w:val="nil"/>
              <w:left w:val="nil"/>
              <w:bottom w:val="nil"/>
              <w:right w:val="nil"/>
            </w:tcBorders>
            <w:shd w:val="clear" w:color="000000" w:fill="FFFFFF"/>
            <w:noWrap/>
            <w:vAlign w:val="center"/>
          </w:tcPr>
          <w:p w14:paraId="3CAB7280">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69.9294</w:t>
            </w:r>
          </w:p>
        </w:tc>
        <w:tc>
          <w:tcPr>
            <w:tcW w:w="1258" w:type="dxa"/>
            <w:tcBorders>
              <w:top w:val="nil"/>
              <w:left w:val="nil"/>
              <w:bottom w:val="nil"/>
              <w:right w:val="nil"/>
            </w:tcBorders>
            <w:shd w:val="clear" w:color="000000" w:fill="FFFFFF"/>
            <w:noWrap/>
            <w:vAlign w:val="center"/>
          </w:tcPr>
          <w:p w14:paraId="5DD9A8D1">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70.6722</w:t>
            </w:r>
          </w:p>
        </w:tc>
        <w:tc>
          <w:tcPr>
            <w:tcW w:w="1155" w:type="dxa"/>
            <w:tcBorders>
              <w:top w:val="nil"/>
              <w:left w:val="nil"/>
              <w:bottom w:val="nil"/>
              <w:right w:val="nil"/>
            </w:tcBorders>
            <w:shd w:val="clear" w:color="000000" w:fill="FFFFFF"/>
            <w:noWrap/>
            <w:vAlign w:val="center"/>
          </w:tcPr>
          <w:p w14:paraId="404C2E70">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0.7428</w:t>
            </w:r>
          </w:p>
        </w:tc>
        <w:tc>
          <w:tcPr>
            <w:tcW w:w="1436" w:type="dxa"/>
            <w:tcBorders>
              <w:top w:val="nil"/>
              <w:left w:val="nil"/>
              <w:bottom w:val="nil"/>
              <w:right w:val="nil"/>
            </w:tcBorders>
            <w:shd w:val="clear" w:color="000000" w:fill="FFFFFF"/>
            <w:noWrap/>
            <w:vAlign w:val="center"/>
          </w:tcPr>
          <w:p w14:paraId="1D937713">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74.17985719</w:t>
            </w:r>
          </w:p>
        </w:tc>
      </w:tr>
      <w:tr w14:paraId="1F50D559">
        <w:tblPrEx>
          <w:tblCellMar>
            <w:top w:w="0" w:type="dxa"/>
            <w:left w:w="108" w:type="dxa"/>
            <w:bottom w:w="0" w:type="dxa"/>
            <w:right w:w="108" w:type="dxa"/>
          </w:tblCellMar>
        </w:tblPrEx>
        <w:trPr>
          <w:trHeight w:val="288" w:hRule="atLeast"/>
          <w:jc w:val="center"/>
        </w:trPr>
        <w:tc>
          <w:tcPr>
            <w:tcW w:w="822" w:type="dxa"/>
            <w:tcBorders>
              <w:top w:val="nil"/>
              <w:left w:val="nil"/>
              <w:bottom w:val="nil"/>
              <w:right w:val="nil"/>
            </w:tcBorders>
            <w:shd w:val="clear" w:color="000000" w:fill="FFFFFF"/>
            <w:vAlign w:val="center"/>
          </w:tcPr>
          <w:p w14:paraId="15ADDDF9">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9</w:t>
            </w:r>
          </w:p>
        </w:tc>
        <w:tc>
          <w:tcPr>
            <w:tcW w:w="766" w:type="dxa"/>
            <w:tcBorders>
              <w:top w:val="nil"/>
              <w:left w:val="nil"/>
              <w:bottom w:val="nil"/>
              <w:right w:val="nil"/>
            </w:tcBorders>
            <w:shd w:val="clear" w:color="000000" w:fill="FFFFFF"/>
            <w:noWrap/>
            <w:vAlign w:val="center"/>
          </w:tcPr>
          <w:p w14:paraId="411BEC0B">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JXBY1</w:t>
            </w:r>
          </w:p>
        </w:tc>
        <w:tc>
          <w:tcPr>
            <w:tcW w:w="916" w:type="dxa"/>
            <w:tcBorders>
              <w:top w:val="nil"/>
              <w:left w:val="nil"/>
              <w:bottom w:val="nil"/>
              <w:right w:val="nil"/>
            </w:tcBorders>
            <w:shd w:val="clear" w:color="000000" w:fill="FFFFFF"/>
            <w:noWrap/>
            <w:vAlign w:val="center"/>
          </w:tcPr>
          <w:p w14:paraId="4BF7B859">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2.0061</w:t>
            </w:r>
          </w:p>
        </w:tc>
        <w:tc>
          <w:tcPr>
            <w:tcW w:w="1036" w:type="dxa"/>
            <w:tcBorders>
              <w:top w:val="nil"/>
              <w:left w:val="nil"/>
              <w:bottom w:val="nil"/>
              <w:right w:val="nil"/>
            </w:tcBorders>
            <w:shd w:val="clear" w:color="000000" w:fill="FFFFFF"/>
            <w:noWrap/>
            <w:vAlign w:val="center"/>
          </w:tcPr>
          <w:p w14:paraId="258CF97C">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50</w:t>
            </w:r>
          </w:p>
        </w:tc>
        <w:tc>
          <w:tcPr>
            <w:tcW w:w="1036" w:type="dxa"/>
            <w:tcBorders>
              <w:top w:val="nil"/>
              <w:left w:val="nil"/>
              <w:bottom w:val="nil"/>
              <w:right w:val="nil"/>
            </w:tcBorders>
            <w:shd w:val="clear" w:color="000000" w:fill="FFFFFF"/>
            <w:noWrap/>
            <w:vAlign w:val="center"/>
          </w:tcPr>
          <w:p w14:paraId="47FC7A48">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25</w:t>
            </w:r>
          </w:p>
        </w:tc>
        <w:tc>
          <w:tcPr>
            <w:tcW w:w="1155" w:type="dxa"/>
            <w:tcBorders>
              <w:top w:val="nil"/>
              <w:left w:val="nil"/>
              <w:bottom w:val="nil"/>
              <w:right w:val="nil"/>
            </w:tcBorders>
            <w:shd w:val="clear" w:color="000000" w:fill="FFFFFF"/>
            <w:noWrap/>
            <w:vAlign w:val="center"/>
          </w:tcPr>
          <w:p w14:paraId="5D47D485">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49.5956</w:t>
            </w:r>
          </w:p>
        </w:tc>
        <w:tc>
          <w:tcPr>
            <w:tcW w:w="1258" w:type="dxa"/>
            <w:tcBorders>
              <w:top w:val="nil"/>
              <w:left w:val="nil"/>
              <w:bottom w:val="nil"/>
              <w:right w:val="nil"/>
            </w:tcBorders>
            <w:shd w:val="clear" w:color="000000" w:fill="FFFFFF"/>
            <w:noWrap/>
            <w:vAlign w:val="center"/>
          </w:tcPr>
          <w:p w14:paraId="3F9933BC">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50.2959</w:t>
            </w:r>
          </w:p>
        </w:tc>
        <w:tc>
          <w:tcPr>
            <w:tcW w:w="1155" w:type="dxa"/>
            <w:tcBorders>
              <w:top w:val="nil"/>
              <w:left w:val="nil"/>
              <w:bottom w:val="nil"/>
              <w:right w:val="nil"/>
            </w:tcBorders>
            <w:shd w:val="clear" w:color="000000" w:fill="FFFFFF"/>
            <w:noWrap/>
            <w:vAlign w:val="center"/>
          </w:tcPr>
          <w:p w14:paraId="62134F7B">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0.7003</w:t>
            </w:r>
          </w:p>
        </w:tc>
        <w:tc>
          <w:tcPr>
            <w:tcW w:w="1436" w:type="dxa"/>
            <w:tcBorders>
              <w:top w:val="nil"/>
              <w:left w:val="nil"/>
              <w:bottom w:val="nil"/>
              <w:right w:val="nil"/>
            </w:tcBorders>
            <w:shd w:val="clear" w:color="000000" w:fill="FFFFFF"/>
            <w:noWrap/>
            <w:vAlign w:val="center"/>
          </w:tcPr>
          <w:p w14:paraId="6049C90C">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69.81705797</w:t>
            </w:r>
          </w:p>
        </w:tc>
      </w:tr>
      <w:tr w14:paraId="213B123F">
        <w:tblPrEx>
          <w:tblCellMar>
            <w:top w:w="0" w:type="dxa"/>
            <w:left w:w="108" w:type="dxa"/>
            <w:bottom w:w="0" w:type="dxa"/>
            <w:right w:w="108" w:type="dxa"/>
          </w:tblCellMar>
        </w:tblPrEx>
        <w:trPr>
          <w:trHeight w:val="288" w:hRule="atLeast"/>
          <w:jc w:val="center"/>
        </w:trPr>
        <w:tc>
          <w:tcPr>
            <w:tcW w:w="822" w:type="dxa"/>
            <w:tcBorders>
              <w:top w:val="nil"/>
              <w:left w:val="nil"/>
              <w:bottom w:val="nil"/>
              <w:right w:val="nil"/>
            </w:tcBorders>
            <w:shd w:val="clear" w:color="000000" w:fill="FFFFFF"/>
            <w:vAlign w:val="center"/>
          </w:tcPr>
          <w:p w14:paraId="54CB5F81">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10</w:t>
            </w:r>
          </w:p>
        </w:tc>
        <w:tc>
          <w:tcPr>
            <w:tcW w:w="766" w:type="dxa"/>
            <w:tcBorders>
              <w:top w:val="nil"/>
              <w:left w:val="nil"/>
              <w:bottom w:val="nil"/>
              <w:right w:val="nil"/>
            </w:tcBorders>
            <w:shd w:val="clear" w:color="000000" w:fill="FFFFFF"/>
            <w:noWrap/>
            <w:vAlign w:val="center"/>
          </w:tcPr>
          <w:p w14:paraId="2D71A00F">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JXYF1</w:t>
            </w:r>
          </w:p>
        </w:tc>
        <w:tc>
          <w:tcPr>
            <w:tcW w:w="916" w:type="dxa"/>
            <w:tcBorders>
              <w:top w:val="nil"/>
              <w:left w:val="nil"/>
              <w:bottom w:val="nil"/>
              <w:right w:val="nil"/>
            </w:tcBorders>
            <w:shd w:val="clear" w:color="000000" w:fill="FFFFFF"/>
            <w:noWrap/>
            <w:vAlign w:val="center"/>
          </w:tcPr>
          <w:p w14:paraId="1CB43785">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2.0047</w:t>
            </w:r>
          </w:p>
        </w:tc>
        <w:tc>
          <w:tcPr>
            <w:tcW w:w="1036" w:type="dxa"/>
            <w:tcBorders>
              <w:top w:val="nil"/>
              <w:left w:val="nil"/>
              <w:bottom w:val="nil"/>
              <w:right w:val="nil"/>
            </w:tcBorders>
            <w:shd w:val="clear" w:color="000000" w:fill="FFFFFF"/>
            <w:noWrap/>
            <w:vAlign w:val="center"/>
          </w:tcPr>
          <w:p w14:paraId="7855A424">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50</w:t>
            </w:r>
          </w:p>
        </w:tc>
        <w:tc>
          <w:tcPr>
            <w:tcW w:w="1036" w:type="dxa"/>
            <w:tcBorders>
              <w:top w:val="nil"/>
              <w:left w:val="nil"/>
              <w:bottom w:val="nil"/>
              <w:right w:val="nil"/>
            </w:tcBorders>
            <w:shd w:val="clear" w:color="000000" w:fill="FFFFFF"/>
            <w:noWrap/>
            <w:vAlign w:val="center"/>
          </w:tcPr>
          <w:p w14:paraId="067D487C">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25</w:t>
            </w:r>
          </w:p>
        </w:tc>
        <w:tc>
          <w:tcPr>
            <w:tcW w:w="1155" w:type="dxa"/>
            <w:tcBorders>
              <w:top w:val="nil"/>
              <w:left w:val="nil"/>
              <w:bottom w:val="nil"/>
              <w:right w:val="nil"/>
            </w:tcBorders>
            <w:shd w:val="clear" w:color="000000" w:fill="FFFFFF"/>
            <w:noWrap/>
            <w:vAlign w:val="center"/>
          </w:tcPr>
          <w:p w14:paraId="526585D4">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65.7137</w:t>
            </w:r>
          </w:p>
        </w:tc>
        <w:tc>
          <w:tcPr>
            <w:tcW w:w="1258" w:type="dxa"/>
            <w:tcBorders>
              <w:top w:val="nil"/>
              <w:left w:val="nil"/>
              <w:bottom w:val="nil"/>
              <w:right w:val="nil"/>
            </w:tcBorders>
            <w:shd w:val="clear" w:color="000000" w:fill="FFFFFF"/>
            <w:noWrap/>
            <w:vAlign w:val="center"/>
          </w:tcPr>
          <w:p w14:paraId="7CB940F2">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66.4719</w:t>
            </w:r>
          </w:p>
        </w:tc>
        <w:tc>
          <w:tcPr>
            <w:tcW w:w="1155" w:type="dxa"/>
            <w:tcBorders>
              <w:top w:val="nil"/>
              <w:left w:val="nil"/>
              <w:bottom w:val="nil"/>
              <w:right w:val="nil"/>
            </w:tcBorders>
            <w:shd w:val="clear" w:color="000000" w:fill="FFFFFF"/>
            <w:noWrap/>
            <w:vAlign w:val="center"/>
          </w:tcPr>
          <w:p w14:paraId="3E46CE9B">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0.7582</w:t>
            </w:r>
          </w:p>
        </w:tc>
        <w:tc>
          <w:tcPr>
            <w:tcW w:w="1436" w:type="dxa"/>
            <w:tcBorders>
              <w:top w:val="nil"/>
              <w:left w:val="nil"/>
              <w:bottom w:val="nil"/>
              <w:right w:val="nil"/>
            </w:tcBorders>
            <w:shd w:val="clear" w:color="000000" w:fill="FFFFFF"/>
            <w:noWrap/>
            <w:vAlign w:val="center"/>
          </w:tcPr>
          <w:p w14:paraId="5F0D4E69">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75.64224073</w:t>
            </w:r>
          </w:p>
        </w:tc>
      </w:tr>
      <w:tr w14:paraId="77F27BBD">
        <w:tblPrEx>
          <w:tblCellMar>
            <w:top w:w="0" w:type="dxa"/>
            <w:left w:w="108" w:type="dxa"/>
            <w:bottom w:w="0" w:type="dxa"/>
            <w:right w:w="108" w:type="dxa"/>
          </w:tblCellMar>
        </w:tblPrEx>
        <w:trPr>
          <w:trHeight w:val="288" w:hRule="atLeast"/>
          <w:jc w:val="center"/>
        </w:trPr>
        <w:tc>
          <w:tcPr>
            <w:tcW w:w="822" w:type="dxa"/>
            <w:tcBorders>
              <w:top w:val="nil"/>
              <w:left w:val="nil"/>
              <w:bottom w:val="nil"/>
              <w:right w:val="nil"/>
            </w:tcBorders>
            <w:shd w:val="clear" w:color="000000" w:fill="FFFFFF"/>
            <w:vAlign w:val="center"/>
          </w:tcPr>
          <w:p w14:paraId="3E9E153F">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11</w:t>
            </w:r>
          </w:p>
        </w:tc>
        <w:tc>
          <w:tcPr>
            <w:tcW w:w="766" w:type="dxa"/>
            <w:tcBorders>
              <w:top w:val="nil"/>
              <w:left w:val="nil"/>
              <w:bottom w:val="nil"/>
              <w:right w:val="nil"/>
            </w:tcBorders>
            <w:shd w:val="clear" w:color="000000" w:fill="FFFFFF"/>
            <w:noWrap/>
            <w:vAlign w:val="center"/>
          </w:tcPr>
          <w:p w14:paraId="5E787863">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JXZX1</w:t>
            </w:r>
          </w:p>
        </w:tc>
        <w:tc>
          <w:tcPr>
            <w:tcW w:w="916" w:type="dxa"/>
            <w:tcBorders>
              <w:top w:val="nil"/>
              <w:left w:val="nil"/>
              <w:bottom w:val="nil"/>
              <w:right w:val="nil"/>
            </w:tcBorders>
            <w:shd w:val="clear" w:color="000000" w:fill="FFFFFF"/>
            <w:noWrap/>
            <w:vAlign w:val="center"/>
          </w:tcPr>
          <w:p w14:paraId="4D206122">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2.0092</w:t>
            </w:r>
          </w:p>
        </w:tc>
        <w:tc>
          <w:tcPr>
            <w:tcW w:w="1036" w:type="dxa"/>
            <w:tcBorders>
              <w:top w:val="nil"/>
              <w:left w:val="nil"/>
              <w:bottom w:val="nil"/>
              <w:right w:val="nil"/>
            </w:tcBorders>
            <w:shd w:val="clear" w:color="000000" w:fill="FFFFFF"/>
            <w:noWrap/>
            <w:vAlign w:val="center"/>
          </w:tcPr>
          <w:p w14:paraId="5FA7F362">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50</w:t>
            </w:r>
          </w:p>
        </w:tc>
        <w:tc>
          <w:tcPr>
            <w:tcW w:w="1036" w:type="dxa"/>
            <w:tcBorders>
              <w:top w:val="nil"/>
              <w:left w:val="nil"/>
              <w:bottom w:val="nil"/>
              <w:right w:val="nil"/>
            </w:tcBorders>
            <w:shd w:val="clear" w:color="000000" w:fill="FFFFFF"/>
            <w:noWrap/>
            <w:vAlign w:val="center"/>
          </w:tcPr>
          <w:p w14:paraId="1617B503">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25</w:t>
            </w:r>
          </w:p>
        </w:tc>
        <w:tc>
          <w:tcPr>
            <w:tcW w:w="1155" w:type="dxa"/>
            <w:tcBorders>
              <w:top w:val="nil"/>
              <w:left w:val="nil"/>
              <w:bottom w:val="nil"/>
              <w:right w:val="nil"/>
            </w:tcBorders>
            <w:shd w:val="clear" w:color="000000" w:fill="FFFFFF"/>
            <w:noWrap/>
            <w:vAlign w:val="center"/>
          </w:tcPr>
          <w:p w14:paraId="6EF8C0E5">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65.7102</w:t>
            </w:r>
          </w:p>
        </w:tc>
        <w:tc>
          <w:tcPr>
            <w:tcW w:w="1258" w:type="dxa"/>
            <w:tcBorders>
              <w:top w:val="nil"/>
              <w:left w:val="nil"/>
              <w:bottom w:val="nil"/>
              <w:right w:val="nil"/>
            </w:tcBorders>
            <w:shd w:val="clear" w:color="000000" w:fill="FFFFFF"/>
            <w:noWrap/>
            <w:vAlign w:val="center"/>
          </w:tcPr>
          <w:p w14:paraId="05D2841E">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66.4767</w:t>
            </w:r>
          </w:p>
        </w:tc>
        <w:tc>
          <w:tcPr>
            <w:tcW w:w="1155" w:type="dxa"/>
            <w:tcBorders>
              <w:top w:val="nil"/>
              <w:left w:val="nil"/>
              <w:bottom w:val="nil"/>
              <w:right w:val="nil"/>
            </w:tcBorders>
            <w:shd w:val="clear" w:color="000000" w:fill="FFFFFF"/>
            <w:noWrap/>
            <w:vAlign w:val="center"/>
          </w:tcPr>
          <w:p w14:paraId="4656C402">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0.7665</w:t>
            </w:r>
          </w:p>
        </w:tc>
        <w:tc>
          <w:tcPr>
            <w:tcW w:w="1436" w:type="dxa"/>
            <w:tcBorders>
              <w:top w:val="nil"/>
              <w:left w:val="nil"/>
              <w:bottom w:val="nil"/>
              <w:right w:val="nil"/>
            </w:tcBorders>
            <w:shd w:val="clear" w:color="000000" w:fill="FFFFFF"/>
            <w:noWrap/>
            <w:vAlign w:val="center"/>
          </w:tcPr>
          <w:p w14:paraId="7D1C5F95">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76.29902449</w:t>
            </w:r>
          </w:p>
        </w:tc>
      </w:tr>
      <w:tr w14:paraId="75CFD172">
        <w:tblPrEx>
          <w:tblCellMar>
            <w:top w:w="0" w:type="dxa"/>
            <w:left w:w="108" w:type="dxa"/>
            <w:bottom w:w="0" w:type="dxa"/>
            <w:right w:w="108" w:type="dxa"/>
          </w:tblCellMar>
        </w:tblPrEx>
        <w:trPr>
          <w:trHeight w:val="288" w:hRule="atLeast"/>
          <w:jc w:val="center"/>
        </w:trPr>
        <w:tc>
          <w:tcPr>
            <w:tcW w:w="822" w:type="dxa"/>
            <w:tcBorders>
              <w:top w:val="nil"/>
              <w:left w:val="nil"/>
              <w:bottom w:val="nil"/>
              <w:right w:val="nil"/>
            </w:tcBorders>
            <w:shd w:val="clear" w:color="000000" w:fill="FFFFFF"/>
            <w:vAlign w:val="center"/>
          </w:tcPr>
          <w:p w14:paraId="1D5641CC">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12</w:t>
            </w:r>
          </w:p>
        </w:tc>
        <w:tc>
          <w:tcPr>
            <w:tcW w:w="766" w:type="dxa"/>
            <w:tcBorders>
              <w:top w:val="nil"/>
              <w:left w:val="nil"/>
              <w:bottom w:val="nil"/>
              <w:right w:val="nil"/>
            </w:tcBorders>
            <w:shd w:val="clear" w:color="000000" w:fill="FFFFFF"/>
            <w:noWrap/>
            <w:vAlign w:val="center"/>
          </w:tcPr>
          <w:p w14:paraId="42537C91">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JXXS3</w:t>
            </w:r>
          </w:p>
        </w:tc>
        <w:tc>
          <w:tcPr>
            <w:tcW w:w="916" w:type="dxa"/>
            <w:tcBorders>
              <w:top w:val="nil"/>
              <w:left w:val="nil"/>
              <w:bottom w:val="nil"/>
              <w:right w:val="nil"/>
            </w:tcBorders>
            <w:shd w:val="clear" w:color="000000" w:fill="FFFFFF"/>
            <w:noWrap/>
            <w:vAlign w:val="center"/>
          </w:tcPr>
          <w:p w14:paraId="6C3A2418">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2.0131</w:t>
            </w:r>
          </w:p>
        </w:tc>
        <w:tc>
          <w:tcPr>
            <w:tcW w:w="1036" w:type="dxa"/>
            <w:tcBorders>
              <w:top w:val="nil"/>
              <w:left w:val="nil"/>
              <w:bottom w:val="nil"/>
              <w:right w:val="nil"/>
            </w:tcBorders>
            <w:shd w:val="clear" w:color="000000" w:fill="FFFFFF"/>
            <w:noWrap/>
            <w:vAlign w:val="center"/>
          </w:tcPr>
          <w:p w14:paraId="276AC245">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50</w:t>
            </w:r>
          </w:p>
        </w:tc>
        <w:tc>
          <w:tcPr>
            <w:tcW w:w="1036" w:type="dxa"/>
            <w:tcBorders>
              <w:top w:val="nil"/>
              <w:left w:val="nil"/>
              <w:bottom w:val="nil"/>
              <w:right w:val="nil"/>
            </w:tcBorders>
            <w:shd w:val="clear" w:color="000000" w:fill="FFFFFF"/>
            <w:noWrap/>
            <w:vAlign w:val="center"/>
          </w:tcPr>
          <w:p w14:paraId="764C1908">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25</w:t>
            </w:r>
          </w:p>
        </w:tc>
        <w:tc>
          <w:tcPr>
            <w:tcW w:w="1155" w:type="dxa"/>
            <w:tcBorders>
              <w:top w:val="nil"/>
              <w:left w:val="nil"/>
              <w:bottom w:val="nil"/>
              <w:right w:val="nil"/>
            </w:tcBorders>
            <w:shd w:val="clear" w:color="000000" w:fill="FFFFFF"/>
            <w:noWrap/>
            <w:vAlign w:val="center"/>
          </w:tcPr>
          <w:p w14:paraId="065CEB4E">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69.9281</w:t>
            </w:r>
          </w:p>
        </w:tc>
        <w:tc>
          <w:tcPr>
            <w:tcW w:w="1258" w:type="dxa"/>
            <w:tcBorders>
              <w:top w:val="nil"/>
              <w:left w:val="nil"/>
              <w:bottom w:val="nil"/>
              <w:right w:val="nil"/>
            </w:tcBorders>
            <w:shd w:val="clear" w:color="000000" w:fill="FFFFFF"/>
            <w:noWrap/>
            <w:vAlign w:val="center"/>
          </w:tcPr>
          <w:p w14:paraId="6B053FFB">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70.7275</w:t>
            </w:r>
          </w:p>
        </w:tc>
        <w:tc>
          <w:tcPr>
            <w:tcW w:w="1155" w:type="dxa"/>
            <w:tcBorders>
              <w:top w:val="nil"/>
              <w:left w:val="nil"/>
              <w:bottom w:val="nil"/>
              <w:right w:val="nil"/>
            </w:tcBorders>
            <w:shd w:val="clear" w:color="000000" w:fill="FFFFFF"/>
            <w:noWrap/>
            <w:vAlign w:val="center"/>
          </w:tcPr>
          <w:p w14:paraId="5417B9D6">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0.7994</w:t>
            </w:r>
          </w:p>
        </w:tc>
        <w:tc>
          <w:tcPr>
            <w:tcW w:w="1436" w:type="dxa"/>
            <w:tcBorders>
              <w:top w:val="nil"/>
              <w:left w:val="nil"/>
              <w:bottom w:val="nil"/>
              <w:right w:val="nil"/>
            </w:tcBorders>
            <w:shd w:val="clear" w:color="000000" w:fill="FFFFFF"/>
            <w:noWrap/>
            <w:vAlign w:val="center"/>
          </w:tcPr>
          <w:p w14:paraId="083E2891">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79.41980031</w:t>
            </w:r>
          </w:p>
        </w:tc>
      </w:tr>
      <w:tr w14:paraId="1E34AE71">
        <w:tblPrEx>
          <w:tblCellMar>
            <w:top w:w="0" w:type="dxa"/>
            <w:left w:w="108" w:type="dxa"/>
            <w:bottom w:w="0" w:type="dxa"/>
            <w:right w:w="108" w:type="dxa"/>
          </w:tblCellMar>
        </w:tblPrEx>
        <w:trPr>
          <w:trHeight w:val="288" w:hRule="atLeast"/>
          <w:jc w:val="center"/>
        </w:trPr>
        <w:tc>
          <w:tcPr>
            <w:tcW w:w="822" w:type="dxa"/>
            <w:tcBorders>
              <w:top w:val="nil"/>
              <w:left w:val="nil"/>
              <w:bottom w:val="nil"/>
              <w:right w:val="nil"/>
            </w:tcBorders>
            <w:shd w:val="clear" w:color="000000" w:fill="FFFFFF"/>
            <w:vAlign w:val="center"/>
          </w:tcPr>
          <w:p w14:paraId="3E894F69">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13</w:t>
            </w:r>
          </w:p>
        </w:tc>
        <w:tc>
          <w:tcPr>
            <w:tcW w:w="766" w:type="dxa"/>
            <w:tcBorders>
              <w:top w:val="nil"/>
              <w:left w:val="nil"/>
              <w:bottom w:val="nil"/>
              <w:right w:val="nil"/>
            </w:tcBorders>
            <w:shd w:val="clear" w:color="000000" w:fill="FFFFFF"/>
            <w:noWrap/>
            <w:vAlign w:val="center"/>
          </w:tcPr>
          <w:p w14:paraId="21F9F222">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JXNC1</w:t>
            </w:r>
          </w:p>
        </w:tc>
        <w:tc>
          <w:tcPr>
            <w:tcW w:w="916" w:type="dxa"/>
            <w:tcBorders>
              <w:top w:val="nil"/>
              <w:left w:val="nil"/>
              <w:bottom w:val="nil"/>
              <w:right w:val="nil"/>
            </w:tcBorders>
            <w:shd w:val="clear" w:color="000000" w:fill="FFFFFF"/>
            <w:noWrap/>
            <w:vAlign w:val="center"/>
          </w:tcPr>
          <w:p w14:paraId="137AF874">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2.0048</w:t>
            </w:r>
          </w:p>
        </w:tc>
        <w:tc>
          <w:tcPr>
            <w:tcW w:w="1036" w:type="dxa"/>
            <w:tcBorders>
              <w:top w:val="nil"/>
              <w:left w:val="nil"/>
              <w:bottom w:val="nil"/>
              <w:right w:val="nil"/>
            </w:tcBorders>
            <w:shd w:val="clear" w:color="000000" w:fill="FFFFFF"/>
            <w:noWrap/>
            <w:vAlign w:val="center"/>
          </w:tcPr>
          <w:p w14:paraId="2AFD660D">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50</w:t>
            </w:r>
          </w:p>
        </w:tc>
        <w:tc>
          <w:tcPr>
            <w:tcW w:w="1036" w:type="dxa"/>
            <w:tcBorders>
              <w:top w:val="nil"/>
              <w:left w:val="nil"/>
              <w:bottom w:val="nil"/>
              <w:right w:val="nil"/>
            </w:tcBorders>
            <w:shd w:val="clear" w:color="000000" w:fill="FFFFFF"/>
            <w:noWrap/>
            <w:vAlign w:val="center"/>
          </w:tcPr>
          <w:p w14:paraId="5F6D8571">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25</w:t>
            </w:r>
          </w:p>
        </w:tc>
        <w:tc>
          <w:tcPr>
            <w:tcW w:w="1155" w:type="dxa"/>
            <w:tcBorders>
              <w:top w:val="nil"/>
              <w:left w:val="nil"/>
              <w:bottom w:val="nil"/>
              <w:right w:val="nil"/>
            </w:tcBorders>
            <w:shd w:val="clear" w:color="000000" w:fill="FFFFFF"/>
            <w:noWrap/>
            <w:vAlign w:val="center"/>
          </w:tcPr>
          <w:p w14:paraId="703D5BE7">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49.5935</w:t>
            </w:r>
          </w:p>
        </w:tc>
        <w:tc>
          <w:tcPr>
            <w:tcW w:w="1258" w:type="dxa"/>
            <w:tcBorders>
              <w:top w:val="nil"/>
              <w:left w:val="nil"/>
              <w:bottom w:val="nil"/>
              <w:right w:val="nil"/>
            </w:tcBorders>
            <w:shd w:val="clear" w:color="000000" w:fill="FFFFFF"/>
            <w:noWrap/>
            <w:vAlign w:val="center"/>
          </w:tcPr>
          <w:p w14:paraId="63D82930">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50.2463</w:t>
            </w:r>
          </w:p>
        </w:tc>
        <w:tc>
          <w:tcPr>
            <w:tcW w:w="1155" w:type="dxa"/>
            <w:tcBorders>
              <w:top w:val="nil"/>
              <w:left w:val="nil"/>
              <w:bottom w:val="nil"/>
              <w:right w:val="nil"/>
            </w:tcBorders>
            <w:shd w:val="clear" w:color="000000" w:fill="FFFFFF"/>
            <w:noWrap/>
            <w:vAlign w:val="center"/>
          </w:tcPr>
          <w:p w14:paraId="786FB022">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0.6528</w:t>
            </w:r>
          </w:p>
        </w:tc>
        <w:tc>
          <w:tcPr>
            <w:tcW w:w="1436" w:type="dxa"/>
            <w:tcBorders>
              <w:top w:val="nil"/>
              <w:left w:val="nil"/>
              <w:bottom w:val="nil"/>
              <w:right w:val="nil"/>
            </w:tcBorders>
            <w:shd w:val="clear" w:color="000000" w:fill="FFFFFF"/>
            <w:noWrap/>
            <w:vAlign w:val="center"/>
          </w:tcPr>
          <w:p w14:paraId="7F73A487">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65.12370311</w:t>
            </w:r>
          </w:p>
        </w:tc>
      </w:tr>
      <w:tr w14:paraId="46870053">
        <w:tblPrEx>
          <w:tblCellMar>
            <w:top w:w="0" w:type="dxa"/>
            <w:left w:w="108" w:type="dxa"/>
            <w:bottom w:w="0" w:type="dxa"/>
            <w:right w:w="108" w:type="dxa"/>
          </w:tblCellMar>
        </w:tblPrEx>
        <w:trPr>
          <w:trHeight w:val="288" w:hRule="atLeast"/>
          <w:jc w:val="center"/>
        </w:trPr>
        <w:tc>
          <w:tcPr>
            <w:tcW w:w="822" w:type="dxa"/>
            <w:tcBorders>
              <w:top w:val="nil"/>
              <w:left w:val="nil"/>
              <w:bottom w:val="nil"/>
              <w:right w:val="nil"/>
            </w:tcBorders>
            <w:shd w:val="clear" w:color="000000" w:fill="FFFFFF"/>
            <w:vAlign w:val="center"/>
          </w:tcPr>
          <w:p w14:paraId="3A414155">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14</w:t>
            </w:r>
          </w:p>
        </w:tc>
        <w:tc>
          <w:tcPr>
            <w:tcW w:w="766" w:type="dxa"/>
            <w:tcBorders>
              <w:top w:val="nil"/>
              <w:left w:val="nil"/>
              <w:bottom w:val="nil"/>
              <w:right w:val="nil"/>
            </w:tcBorders>
            <w:shd w:val="clear" w:color="000000" w:fill="FFFFFF"/>
            <w:noWrap/>
            <w:vAlign w:val="center"/>
          </w:tcPr>
          <w:p w14:paraId="60240053">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JXLC1</w:t>
            </w:r>
          </w:p>
        </w:tc>
        <w:tc>
          <w:tcPr>
            <w:tcW w:w="916" w:type="dxa"/>
            <w:tcBorders>
              <w:top w:val="nil"/>
              <w:left w:val="nil"/>
              <w:bottom w:val="nil"/>
              <w:right w:val="nil"/>
            </w:tcBorders>
            <w:shd w:val="clear" w:color="000000" w:fill="FFFFFF"/>
            <w:noWrap/>
            <w:vAlign w:val="center"/>
          </w:tcPr>
          <w:p w14:paraId="1BCDB813">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2.0081</w:t>
            </w:r>
          </w:p>
        </w:tc>
        <w:tc>
          <w:tcPr>
            <w:tcW w:w="1036" w:type="dxa"/>
            <w:tcBorders>
              <w:top w:val="nil"/>
              <w:left w:val="nil"/>
              <w:bottom w:val="nil"/>
              <w:right w:val="nil"/>
            </w:tcBorders>
            <w:shd w:val="clear" w:color="000000" w:fill="FFFFFF"/>
            <w:noWrap/>
            <w:vAlign w:val="center"/>
          </w:tcPr>
          <w:p w14:paraId="2499C5B8">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50</w:t>
            </w:r>
          </w:p>
        </w:tc>
        <w:tc>
          <w:tcPr>
            <w:tcW w:w="1036" w:type="dxa"/>
            <w:tcBorders>
              <w:top w:val="nil"/>
              <w:left w:val="nil"/>
              <w:bottom w:val="nil"/>
              <w:right w:val="nil"/>
            </w:tcBorders>
            <w:shd w:val="clear" w:color="000000" w:fill="FFFFFF"/>
            <w:noWrap/>
            <w:vAlign w:val="center"/>
          </w:tcPr>
          <w:p w14:paraId="733FBA1D">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25</w:t>
            </w:r>
          </w:p>
        </w:tc>
        <w:tc>
          <w:tcPr>
            <w:tcW w:w="1155" w:type="dxa"/>
            <w:tcBorders>
              <w:top w:val="nil"/>
              <w:left w:val="nil"/>
              <w:bottom w:val="nil"/>
              <w:right w:val="nil"/>
            </w:tcBorders>
            <w:shd w:val="clear" w:color="000000" w:fill="FFFFFF"/>
            <w:noWrap/>
            <w:vAlign w:val="center"/>
          </w:tcPr>
          <w:p w14:paraId="61D56526">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65.6935</w:t>
            </w:r>
          </w:p>
        </w:tc>
        <w:tc>
          <w:tcPr>
            <w:tcW w:w="1258" w:type="dxa"/>
            <w:tcBorders>
              <w:top w:val="nil"/>
              <w:left w:val="nil"/>
              <w:bottom w:val="nil"/>
              <w:right w:val="nil"/>
            </w:tcBorders>
            <w:shd w:val="clear" w:color="000000" w:fill="FFFFFF"/>
            <w:noWrap/>
            <w:vAlign w:val="center"/>
          </w:tcPr>
          <w:p w14:paraId="25637495">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66.3852</w:t>
            </w:r>
          </w:p>
        </w:tc>
        <w:tc>
          <w:tcPr>
            <w:tcW w:w="1155" w:type="dxa"/>
            <w:tcBorders>
              <w:top w:val="nil"/>
              <w:left w:val="nil"/>
              <w:bottom w:val="nil"/>
              <w:right w:val="nil"/>
            </w:tcBorders>
            <w:shd w:val="clear" w:color="000000" w:fill="FFFFFF"/>
            <w:noWrap/>
            <w:vAlign w:val="center"/>
          </w:tcPr>
          <w:p w14:paraId="623A8E79">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0.6917</w:t>
            </w:r>
          </w:p>
        </w:tc>
        <w:tc>
          <w:tcPr>
            <w:tcW w:w="1436" w:type="dxa"/>
            <w:tcBorders>
              <w:top w:val="nil"/>
              <w:left w:val="nil"/>
              <w:bottom w:val="nil"/>
              <w:right w:val="nil"/>
            </w:tcBorders>
            <w:shd w:val="clear" w:color="000000" w:fill="FFFFFF"/>
            <w:noWrap/>
            <w:vAlign w:val="center"/>
          </w:tcPr>
          <w:p w14:paraId="1B3053E9">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68.89099148</w:t>
            </w:r>
          </w:p>
        </w:tc>
      </w:tr>
      <w:tr w14:paraId="7E0EABF7">
        <w:tblPrEx>
          <w:tblCellMar>
            <w:top w:w="0" w:type="dxa"/>
            <w:left w:w="108" w:type="dxa"/>
            <w:bottom w:w="0" w:type="dxa"/>
            <w:right w:w="108" w:type="dxa"/>
          </w:tblCellMar>
        </w:tblPrEx>
        <w:trPr>
          <w:trHeight w:val="288" w:hRule="atLeast"/>
          <w:jc w:val="center"/>
        </w:trPr>
        <w:tc>
          <w:tcPr>
            <w:tcW w:w="822" w:type="dxa"/>
            <w:tcBorders>
              <w:top w:val="nil"/>
              <w:left w:val="nil"/>
              <w:bottom w:val="nil"/>
              <w:right w:val="nil"/>
            </w:tcBorders>
            <w:shd w:val="clear" w:color="000000" w:fill="FFFFFF"/>
            <w:vAlign w:val="center"/>
          </w:tcPr>
          <w:p w14:paraId="5A02DF7E">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15</w:t>
            </w:r>
          </w:p>
        </w:tc>
        <w:tc>
          <w:tcPr>
            <w:tcW w:w="766" w:type="dxa"/>
            <w:tcBorders>
              <w:top w:val="nil"/>
              <w:left w:val="nil"/>
              <w:bottom w:val="nil"/>
              <w:right w:val="nil"/>
            </w:tcBorders>
            <w:shd w:val="clear" w:color="000000" w:fill="FFFFFF"/>
            <w:noWrap/>
            <w:vAlign w:val="center"/>
          </w:tcPr>
          <w:p w14:paraId="09C3AAF9">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JXNC1</w:t>
            </w:r>
          </w:p>
        </w:tc>
        <w:tc>
          <w:tcPr>
            <w:tcW w:w="916" w:type="dxa"/>
            <w:tcBorders>
              <w:top w:val="nil"/>
              <w:left w:val="nil"/>
              <w:bottom w:val="nil"/>
              <w:right w:val="nil"/>
            </w:tcBorders>
            <w:shd w:val="clear" w:color="000000" w:fill="FFFFFF"/>
            <w:noWrap/>
            <w:vAlign w:val="center"/>
          </w:tcPr>
          <w:p w14:paraId="7C041142">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2.0026</w:t>
            </w:r>
          </w:p>
        </w:tc>
        <w:tc>
          <w:tcPr>
            <w:tcW w:w="1036" w:type="dxa"/>
            <w:tcBorders>
              <w:top w:val="nil"/>
              <w:left w:val="nil"/>
              <w:bottom w:val="nil"/>
              <w:right w:val="nil"/>
            </w:tcBorders>
            <w:shd w:val="clear" w:color="000000" w:fill="FFFFFF"/>
            <w:noWrap/>
            <w:vAlign w:val="center"/>
          </w:tcPr>
          <w:p w14:paraId="29504422">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50</w:t>
            </w:r>
          </w:p>
        </w:tc>
        <w:tc>
          <w:tcPr>
            <w:tcW w:w="1036" w:type="dxa"/>
            <w:tcBorders>
              <w:top w:val="nil"/>
              <w:left w:val="nil"/>
              <w:bottom w:val="nil"/>
              <w:right w:val="nil"/>
            </w:tcBorders>
            <w:shd w:val="clear" w:color="000000" w:fill="FFFFFF"/>
            <w:noWrap/>
            <w:vAlign w:val="center"/>
          </w:tcPr>
          <w:p w14:paraId="6BD69F65">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25</w:t>
            </w:r>
          </w:p>
        </w:tc>
        <w:tc>
          <w:tcPr>
            <w:tcW w:w="1155" w:type="dxa"/>
            <w:tcBorders>
              <w:top w:val="nil"/>
              <w:left w:val="nil"/>
              <w:bottom w:val="nil"/>
              <w:right w:val="nil"/>
            </w:tcBorders>
            <w:shd w:val="clear" w:color="000000" w:fill="FFFFFF"/>
            <w:noWrap/>
            <w:vAlign w:val="center"/>
          </w:tcPr>
          <w:p w14:paraId="7C9D3212">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69.9088</w:t>
            </w:r>
          </w:p>
        </w:tc>
        <w:tc>
          <w:tcPr>
            <w:tcW w:w="1258" w:type="dxa"/>
            <w:tcBorders>
              <w:top w:val="nil"/>
              <w:left w:val="nil"/>
              <w:bottom w:val="nil"/>
              <w:right w:val="nil"/>
            </w:tcBorders>
            <w:shd w:val="clear" w:color="000000" w:fill="FFFFFF"/>
            <w:noWrap/>
            <w:vAlign w:val="center"/>
          </w:tcPr>
          <w:p w14:paraId="04EA345C">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70.6782</w:t>
            </w:r>
          </w:p>
        </w:tc>
        <w:tc>
          <w:tcPr>
            <w:tcW w:w="1155" w:type="dxa"/>
            <w:tcBorders>
              <w:top w:val="nil"/>
              <w:left w:val="nil"/>
              <w:bottom w:val="nil"/>
              <w:right w:val="nil"/>
            </w:tcBorders>
            <w:shd w:val="clear" w:color="000000" w:fill="FFFFFF"/>
            <w:noWrap/>
            <w:vAlign w:val="center"/>
          </w:tcPr>
          <w:p w14:paraId="0B133AA1">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0.7694</w:t>
            </w:r>
          </w:p>
        </w:tc>
        <w:tc>
          <w:tcPr>
            <w:tcW w:w="1436" w:type="dxa"/>
            <w:tcBorders>
              <w:top w:val="nil"/>
              <w:left w:val="nil"/>
              <w:bottom w:val="nil"/>
              <w:right w:val="nil"/>
            </w:tcBorders>
            <w:shd w:val="clear" w:color="000000" w:fill="FFFFFF"/>
            <w:noWrap/>
            <w:vAlign w:val="center"/>
          </w:tcPr>
          <w:p w14:paraId="6516F6D5">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76.84010786</w:t>
            </w:r>
          </w:p>
        </w:tc>
      </w:tr>
      <w:tr w14:paraId="5146DD9A">
        <w:tblPrEx>
          <w:tblCellMar>
            <w:top w:w="0" w:type="dxa"/>
            <w:left w:w="108" w:type="dxa"/>
            <w:bottom w:w="0" w:type="dxa"/>
            <w:right w:w="108" w:type="dxa"/>
          </w:tblCellMar>
        </w:tblPrEx>
        <w:trPr>
          <w:trHeight w:val="288" w:hRule="atLeast"/>
          <w:jc w:val="center"/>
        </w:trPr>
        <w:tc>
          <w:tcPr>
            <w:tcW w:w="822" w:type="dxa"/>
            <w:tcBorders>
              <w:top w:val="nil"/>
              <w:left w:val="nil"/>
              <w:bottom w:val="single" w:color="auto" w:sz="4" w:space="0"/>
              <w:right w:val="nil"/>
            </w:tcBorders>
            <w:shd w:val="clear" w:color="000000" w:fill="FFFFFF"/>
            <w:vAlign w:val="center"/>
          </w:tcPr>
          <w:p w14:paraId="4AB59831">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16</w:t>
            </w:r>
          </w:p>
        </w:tc>
        <w:tc>
          <w:tcPr>
            <w:tcW w:w="766" w:type="dxa"/>
            <w:tcBorders>
              <w:top w:val="nil"/>
              <w:left w:val="nil"/>
              <w:bottom w:val="single" w:color="auto" w:sz="4" w:space="0"/>
              <w:right w:val="nil"/>
            </w:tcBorders>
            <w:shd w:val="clear" w:color="000000" w:fill="FFFFFF"/>
            <w:noWrap/>
            <w:vAlign w:val="center"/>
          </w:tcPr>
          <w:p w14:paraId="6E2FCD1F">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JXTG4</w:t>
            </w:r>
          </w:p>
        </w:tc>
        <w:tc>
          <w:tcPr>
            <w:tcW w:w="916" w:type="dxa"/>
            <w:tcBorders>
              <w:top w:val="nil"/>
              <w:left w:val="nil"/>
              <w:bottom w:val="single" w:color="auto" w:sz="4" w:space="0"/>
              <w:right w:val="nil"/>
            </w:tcBorders>
            <w:shd w:val="clear" w:color="000000" w:fill="FFFFFF"/>
            <w:noWrap/>
            <w:vAlign w:val="center"/>
          </w:tcPr>
          <w:p w14:paraId="0D8BE37A">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2.0053</w:t>
            </w:r>
          </w:p>
        </w:tc>
        <w:tc>
          <w:tcPr>
            <w:tcW w:w="1036" w:type="dxa"/>
            <w:tcBorders>
              <w:top w:val="nil"/>
              <w:left w:val="nil"/>
              <w:bottom w:val="single" w:color="auto" w:sz="4" w:space="0"/>
              <w:right w:val="nil"/>
            </w:tcBorders>
            <w:shd w:val="clear" w:color="000000" w:fill="FFFFFF"/>
            <w:noWrap/>
            <w:vAlign w:val="center"/>
          </w:tcPr>
          <w:p w14:paraId="2A26C89F">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50</w:t>
            </w:r>
          </w:p>
        </w:tc>
        <w:tc>
          <w:tcPr>
            <w:tcW w:w="1036" w:type="dxa"/>
            <w:tcBorders>
              <w:top w:val="nil"/>
              <w:left w:val="nil"/>
              <w:bottom w:val="single" w:color="auto" w:sz="4" w:space="0"/>
              <w:right w:val="nil"/>
            </w:tcBorders>
            <w:shd w:val="clear" w:color="000000" w:fill="FFFFFF"/>
            <w:noWrap/>
            <w:vAlign w:val="center"/>
          </w:tcPr>
          <w:p w14:paraId="743F3E00">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25</w:t>
            </w:r>
          </w:p>
        </w:tc>
        <w:tc>
          <w:tcPr>
            <w:tcW w:w="1155" w:type="dxa"/>
            <w:tcBorders>
              <w:top w:val="nil"/>
              <w:left w:val="nil"/>
              <w:bottom w:val="single" w:color="auto" w:sz="4" w:space="0"/>
              <w:right w:val="nil"/>
            </w:tcBorders>
            <w:shd w:val="clear" w:color="000000" w:fill="FFFFFF"/>
            <w:noWrap/>
            <w:vAlign w:val="center"/>
          </w:tcPr>
          <w:p w14:paraId="20460964">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49.5792</w:t>
            </w:r>
          </w:p>
        </w:tc>
        <w:tc>
          <w:tcPr>
            <w:tcW w:w="1258" w:type="dxa"/>
            <w:tcBorders>
              <w:top w:val="nil"/>
              <w:left w:val="nil"/>
              <w:bottom w:val="single" w:color="auto" w:sz="4" w:space="0"/>
              <w:right w:val="nil"/>
            </w:tcBorders>
            <w:shd w:val="clear" w:color="000000" w:fill="FFFFFF"/>
            <w:noWrap/>
            <w:vAlign w:val="center"/>
          </w:tcPr>
          <w:p w14:paraId="3782E5FB">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50.2863</w:t>
            </w:r>
          </w:p>
        </w:tc>
        <w:tc>
          <w:tcPr>
            <w:tcW w:w="1155" w:type="dxa"/>
            <w:tcBorders>
              <w:top w:val="nil"/>
              <w:left w:val="nil"/>
              <w:bottom w:val="single" w:color="auto" w:sz="4" w:space="0"/>
              <w:right w:val="nil"/>
            </w:tcBorders>
            <w:shd w:val="clear" w:color="000000" w:fill="FFFFFF"/>
            <w:noWrap/>
            <w:vAlign w:val="center"/>
          </w:tcPr>
          <w:p w14:paraId="492494AB">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0.7071</w:t>
            </w:r>
          </w:p>
        </w:tc>
        <w:tc>
          <w:tcPr>
            <w:tcW w:w="1436" w:type="dxa"/>
            <w:tcBorders>
              <w:top w:val="nil"/>
              <w:left w:val="nil"/>
              <w:bottom w:val="single" w:color="auto" w:sz="4" w:space="0"/>
              <w:right w:val="nil"/>
            </w:tcBorders>
            <w:shd w:val="clear" w:color="000000" w:fill="FFFFFF"/>
            <w:noWrap/>
            <w:vAlign w:val="center"/>
          </w:tcPr>
          <w:p w14:paraId="6339CF11">
            <w:pPr>
              <w:widowControl/>
              <w:spacing w:line="360" w:lineRule="auto"/>
              <w:rPr>
                <w:rFonts w:ascii="Times New Roman" w:hAnsi="Times New Roman" w:eastAsia="宋体" w:cs="Times New Roman"/>
                <w:kern w:val="0"/>
                <w:szCs w:val="20"/>
              </w:rPr>
            </w:pPr>
            <w:r>
              <w:rPr>
                <w:rFonts w:ascii="Times New Roman" w:hAnsi="Times New Roman" w:eastAsia="宋体" w:cs="Times New Roman"/>
                <w:kern w:val="0"/>
                <w:szCs w:val="20"/>
              </w:rPr>
              <w:t>70.52311375</w:t>
            </w:r>
          </w:p>
        </w:tc>
      </w:tr>
    </w:tbl>
    <w:p w14:paraId="57247FDB">
      <w:pPr>
        <w:spacing w:line="360" w:lineRule="auto"/>
        <w:ind w:firstLine="480" w:firstLineChars="200"/>
        <w:rPr>
          <w:rFonts w:ascii="Times New Roman" w:hAnsi="Times New Roman" w:eastAsia="宋体" w:cs="Times New Roman"/>
          <w:bCs/>
          <w:sz w:val="24"/>
          <w:szCs w:val="24"/>
        </w:rPr>
      </w:pPr>
      <w:r>
        <w:rPr>
          <w:rFonts w:hint="eastAsia" w:ascii="Times New Roman" w:hAnsi="Times New Roman" w:eastAsia="宋体" w:cs="Times New Roman"/>
          <w:bCs/>
          <w:sz w:val="24"/>
          <w:szCs w:val="24"/>
        </w:rPr>
        <w:t>2、水分、总灰分、重金属及有害元素</w:t>
      </w:r>
    </w:p>
    <w:p w14:paraId="1A9FD150">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按照《中国药典》（</w:t>
      </w:r>
      <w:r>
        <w:rPr>
          <w:rFonts w:ascii="Times New Roman" w:hAnsi="Times New Roman" w:eastAsia="宋体" w:cs="Times New Roman"/>
          <w:sz w:val="24"/>
          <w:szCs w:val="24"/>
        </w:rPr>
        <w:t>2020</w:t>
      </w:r>
      <w:r>
        <w:rPr>
          <w:rFonts w:hint="eastAsia" w:ascii="Times New Roman" w:hAnsi="Times New Roman" w:eastAsia="宋体" w:cs="Times New Roman"/>
          <w:sz w:val="24"/>
          <w:szCs w:val="24"/>
        </w:rPr>
        <w:t>版）的规定，水分</w:t>
      </w:r>
      <w:r>
        <w:rPr>
          <w:rFonts w:hint="eastAsia" w:ascii="Times New Roman" w:hAnsi="Times New Roman" w:eastAsia="宋体" w:cs="Times New Roman"/>
          <w:color w:val="FF0000"/>
          <w:sz w:val="24"/>
          <w:szCs w:val="24"/>
          <w:highlight w:val="yellow"/>
        </w:rPr>
        <w:t>：不得过</w:t>
      </w:r>
      <w:r>
        <w:rPr>
          <w:rFonts w:ascii="Times New Roman" w:hAnsi="Times New Roman" w:eastAsia="宋体" w:cs="Times New Roman"/>
          <w:color w:val="FF0000"/>
          <w:sz w:val="24"/>
          <w:szCs w:val="24"/>
          <w:highlight w:val="yellow"/>
        </w:rPr>
        <w:t>1.0%</w:t>
      </w:r>
      <w:r>
        <w:rPr>
          <w:rFonts w:hint="eastAsia" w:ascii="Times New Roman" w:hAnsi="Times New Roman" w:eastAsia="宋体" w:cs="Times New Roman"/>
          <w:color w:val="FF0000"/>
          <w:sz w:val="24"/>
          <w:szCs w:val="24"/>
          <w:highlight w:val="yellow"/>
        </w:rPr>
        <w:t>（</w:t>
      </w:r>
      <w:r>
        <w:rPr>
          <w:rFonts w:hint="eastAsia" w:ascii="Times New Roman" w:hAnsi="Times New Roman" w:eastAsia="宋体" w:cs="Times New Roman"/>
          <w:sz w:val="24"/>
          <w:szCs w:val="24"/>
        </w:rPr>
        <w:t>通则</w:t>
      </w:r>
      <w:r>
        <w:rPr>
          <w:rFonts w:ascii="Times New Roman" w:hAnsi="Times New Roman" w:eastAsia="宋体" w:cs="Times New Roman"/>
          <w:sz w:val="24"/>
          <w:szCs w:val="24"/>
        </w:rPr>
        <w:t>0832</w:t>
      </w:r>
      <w:r>
        <w:rPr>
          <w:rFonts w:hint="eastAsia" w:ascii="Times New Roman" w:hAnsi="Times New Roman" w:eastAsia="宋体" w:cs="Times New Roman"/>
          <w:sz w:val="24"/>
          <w:szCs w:val="24"/>
        </w:rPr>
        <w:t>第四法）。</w:t>
      </w:r>
    </w:p>
    <w:p w14:paraId="698EF527">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总灰分：取本品，80品干燥</w:t>
      </w:r>
      <w:r>
        <w:rPr>
          <w:rFonts w:ascii="Times New Roman" w:hAnsi="Times New Roman" w:eastAsia="宋体" w:cs="Times New Roman"/>
          <w:sz w:val="24"/>
          <w:szCs w:val="24"/>
        </w:rPr>
        <w:t>6</w:t>
      </w:r>
      <w:r>
        <w:rPr>
          <w:rFonts w:hint="eastAsia" w:ascii="Times New Roman" w:hAnsi="Times New Roman" w:eastAsia="宋体" w:cs="Times New Roman"/>
          <w:sz w:val="24"/>
          <w:szCs w:val="24"/>
        </w:rPr>
        <w:t>小时，粉碎后测定，不得过</w:t>
      </w:r>
      <w:r>
        <w:rPr>
          <w:rFonts w:ascii="Times New Roman" w:hAnsi="Times New Roman" w:eastAsia="宋体" w:cs="Times New Roman"/>
          <w:sz w:val="24"/>
          <w:szCs w:val="24"/>
        </w:rPr>
        <w:t>4.0%</w:t>
      </w:r>
      <w:r>
        <w:rPr>
          <w:rFonts w:hint="eastAsia" w:ascii="Times New Roman" w:hAnsi="Times New Roman" w:eastAsia="宋体" w:cs="Times New Roman"/>
          <w:sz w:val="24"/>
          <w:szCs w:val="24"/>
        </w:rPr>
        <w:t>（通则</w:t>
      </w:r>
      <w:r>
        <w:rPr>
          <w:rFonts w:ascii="Times New Roman" w:hAnsi="Times New Roman" w:eastAsia="宋体" w:cs="Times New Roman"/>
          <w:sz w:val="24"/>
          <w:szCs w:val="24"/>
        </w:rPr>
        <w:t xml:space="preserve"> 2302</w:t>
      </w:r>
      <w:r>
        <w:rPr>
          <w:rFonts w:hint="eastAsia" w:ascii="Times New Roman" w:hAnsi="Times New Roman" w:eastAsia="宋体" w:cs="Times New Roman"/>
          <w:sz w:val="24"/>
          <w:szCs w:val="24"/>
        </w:rPr>
        <w:t>）。重金属及有害元素照铅、镉、砷、汞、铜测定法（通则</w:t>
      </w:r>
      <w:r>
        <w:rPr>
          <w:rFonts w:ascii="Times New Roman" w:hAnsi="Times New Roman" w:eastAsia="宋体" w:cs="Times New Roman"/>
          <w:sz w:val="24"/>
          <w:szCs w:val="24"/>
        </w:rPr>
        <w:t>2321</w:t>
      </w:r>
      <w:r>
        <w:rPr>
          <w:rFonts w:hint="eastAsia" w:ascii="Times New Roman" w:hAnsi="Times New Roman" w:eastAsia="宋体" w:cs="Times New Roman"/>
          <w:sz w:val="24"/>
          <w:szCs w:val="24"/>
        </w:rPr>
        <w:t>原子吸收分光光度法或电感耦合等离子体质谱法）测定，铅不得过</w:t>
      </w:r>
      <w:r>
        <w:rPr>
          <w:rFonts w:ascii="Times New Roman" w:hAnsi="Times New Roman" w:eastAsia="宋体" w:cs="Times New Roman"/>
          <w:sz w:val="24"/>
          <w:szCs w:val="24"/>
        </w:rPr>
        <w:t>5mg/kg</w:t>
      </w:r>
      <w:r>
        <w:rPr>
          <w:rFonts w:hint="eastAsia" w:ascii="Times New Roman" w:hAnsi="Times New Roman" w:eastAsia="宋体" w:cs="Times New Roman"/>
          <w:sz w:val="24"/>
          <w:szCs w:val="24"/>
        </w:rPr>
        <w:t>；镉不得过</w:t>
      </w:r>
      <w:r>
        <w:rPr>
          <w:rFonts w:ascii="Times New Roman" w:hAnsi="Times New Roman" w:eastAsia="宋体" w:cs="Times New Roman"/>
          <w:color w:val="FF0000"/>
          <w:sz w:val="24"/>
          <w:szCs w:val="24"/>
          <w:highlight w:val="yellow"/>
        </w:rPr>
        <w:t>0.3mg/kg</w:t>
      </w:r>
      <w:r>
        <w:rPr>
          <w:rFonts w:hint="eastAsia" w:ascii="Times New Roman" w:hAnsi="Times New Roman" w:eastAsia="宋体" w:cs="Times New Roman"/>
          <w:sz w:val="24"/>
          <w:szCs w:val="24"/>
        </w:rPr>
        <w:t>；砷不得过</w:t>
      </w:r>
      <w:r>
        <w:rPr>
          <w:rFonts w:ascii="Times New Roman" w:hAnsi="Times New Roman" w:eastAsia="宋体" w:cs="Times New Roman"/>
          <w:sz w:val="24"/>
          <w:szCs w:val="24"/>
        </w:rPr>
        <w:t>2mg/kg</w:t>
      </w:r>
      <w:r>
        <w:rPr>
          <w:rFonts w:hint="eastAsia" w:ascii="Times New Roman" w:hAnsi="Times New Roman" w:eastAsia="宋体" w:cs="Times New Roman"/>
          <w:sz w:val="24"/>
          <w:szCs w:val="24"/>
        </w:rPr>
        <w:t>；汞不得过</w:t>
      </w:r>
      <w:r>
        <w:rPr>
          <w:rFonts w:ascii="Times New Roman" w:hAnsi="Times New Roman" w:eastAsia="宋体" w:cs="Times New Roman"/>
          <w:sz w:val="24"/>
          <w:szCs w:val="24"/>
        </w:rPr>
        <w:t>0. 2mg/kg</w:t>
      </w:r>
      <w:r>
        <w:rPr>
          <w:rFonts w:hint="eastAsia" w:ascii="Times New Roman" w:hAnsi="Times New Roman" w:eastAsia="宋体" w:cs="Times New Roman"/>
          <w:sz w:val="24"/>
          <w:szCs w:val="24"/>
        </w:rPr>
        <w:t>；铜不得过</w:t>
      </w:r>
      <w:r>
        <w:rPr>
          <w:rFonts w:ascii="Times New Roman" w:hAnsi="Times New Roman" w:eastAsia="宋体" w:cs="Times New Roman"/>
          <w:sz w:val="24"/>
          <w:szCs w:val="24"/>
        </w:rPr>
        <w:t>20mg/kg</w:t>
      </w:r>
      <w:r>
        <w:rPr>
          <w:rFonts w:hint="eastAsia" w:ascii="Times New Roman" w:hAnsi="Times New Roman" w:eastAsia="宋体" w:cs="Times New Roman"/>
          <w:sz w:val="24"/>
          <w:szCs w:val="24"/>
        </w:rPr>
        <w:t>。</w:t>
      </w:r>
    </w:p>
    <w:p w14:paraId="6311054E">
      <w:pPr>
        <w:spacing w:line="360" w:lineRule="auto"/>
        <w:ind w:firstLine="480" w:firstLineChars="200"/>
        <w:rPr>
          <w:rFonts w:ascii="Times New Roman" w:hAnsi="Times New Roman" w:eastAsia="宋体" w:cs="Times New Roman"/>
          <w:snapToGrid w:val="0"/>
          <w:kern w:val="0"/>
          <w:sz w:val="24"/>
          <w:szCs w:val="21"/>
        </w:rPr>
      </w:pPr>
      <w:r>
        <w:rPr>
          <w:rFonts w:hint="eastAsia" w:ascii="Times New Roman" w:hAnsi="Times New Roman" w:eastAsia="宋体" w:cs="Times New Roman"/>
          <w:sz w:val="24"/>
          <w:szCs w:val="24"/>
        </w:rPr>
        <w:t>根据《</w:t>
      </w:r>
      <w:r>
        <w:rPr>
          <w:rFonts w:hint="eastAsia" w:ascii="Times New Roman" w:hAnsi="Times New Roman" w:eastAsia="宋体" w:cs="Times New Roman"/>
          <w:kern w:val="0"/>
          <w:sz w:val="24"/>
          <w:szCs w:val="21"/>
        </w:rPr>
        <w:t>药用植物及制剂进出口绿色行业标准》增加：</w:t>
      </w:r>
      <w:r>
        <w:rPr>
          <w:rFonts w:hint="eastAsia" w:ascii="Times New Roman" w:hAnsi="Times New Roman" w:eastAsia="宋体" w:cs="Times New Roman"/>
          <w:snapToGrid w:val="0"/>
          <w:kern w:val="0"/>
          <w:sz w:val="24"/>
          <w:szCs w:val="21"/>
        </w:rPr>
        <w:t>重金属总量≤20.0 mg/kg。</w:t>
      </w:r>
    </w:p>
    <w:p w14:paraId="7B54F5BB">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3</w:t>
      </w:r>
      <w:r>
        <w:rPr>
          <w:rFonts w:hint="eastAsia" w:ascii="Times New Roman" w:hAnsi="Times New Roman" w:eastAsia="宋体" w:cs="Times New Roman"/>
          <w:sz w:val="24"/>
          <w:szCs w:val="24"/>
        </w:rPr>
        <w:t>、多糖含量</w:t>
      </w:r>
    </w:p>
    <w:p w14:paraId="4C82CD2D">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黄精多糖是黄精中主要活性成分之一，其含量在《中国药典》（2020</w:t>
      </w:r>
      <w:r>
        <w:rPr>
          <w:rFonts w:hint="eastAsia" w:ascii="Times New Roman" w:hAnsi="Times New Roman" w:eastAsia="宋体" w:cs="Times New Roman"/>
          <w:sz w:val="24"/>
          <w:szCs w:val="24"/>
        </w:rPr>
        <w:t>版）：本品按干燥品计算，含黄精多糖以无水葡萄糖（</w:t>
      </w:r>
      <w:r>
        <w:rPr>
          <w:rFonts w:ascii="Times New Roman" w:hAnsi="Times New Roman" w:eastAsia="宋体" w:cs="Times New Roman"/>
          <w:sz w:val="24"/>
          <w:szCs w:val="24"/>
        </w:rPr>
        <w:t>C</w:t>
      </w:r>
      <w:r>
        <w:rPr>
          <w:rFonts w:ascii="Times New Roman" w:hAnsi="Times New Roman" w:eastAsia="宋体" w:cs="Times New Roman"/>
          <w:sz w:val="24"/>
          <w:szCs w:val="24"/>
          <w:vertAlign w:val="subscript"/>
        </w:rPr>
        <w:t>6</w:t>
      </w:r>
      <w:r>
        <w:rPr>
          <w:rFonts w:ascii="Times New Roman" w:hAnsi="Times New Roman" w:eastAsia="宋体" w:cs="Times New Roman"/>
          <w:sz w:val="24"/>
          <w:szCs w:val="24"/>
        </w:rPr>
        <w:t>H</w:t>
      </w:r>
      <w:r>
        <w:rPr>
          <w:rFonts w:ascii="Times New Roman" w:hAnsi="Times New Roman" w:eastAsia="宋体" w:cs="Times New Roman"/>
          <w:sz w:val="24"/>
          <w:szCs w:val="24"/>
          <w:vertAlign w:val="subscript"/>
        </w:rPr>
        <w:t>12</w:t>
      </w:r>
      <w:r>
        <w:rPr>
          <w:rFonts w:ascii="Times New Roman" w:hAnsi="Times New Roman" w:eastAsia="宋体" w:cs="Times New Roman"/>
          <w:sz w:val="24"/>
          <w:szCs w:val="24"/>
        </w:rPr>
        <w:t>O</w:t>
      </w:r>
      <w:r>
        <w:rPr>
          <w:rFonts w:ascii="Times New Roman" w:hAnsi="Times New Roman" w:eastAsia="宋体" w:cs="Times New Roman"/>
          <w:sz w:val="24"/>
          <w:szCs w:val="24"/>
          <w:vertAlign w:val="subscript"/>
        </w:rPr>
        <w:t>6</w:t>
      </w:r>
      <w:r>
        <w:rPr>
          <w:rFonts w:hint="eastAsia" w:ascii="Times New Roman" w:hAnsi="Times New Roman" w:eastAsia="宋体" w:cs="Times New Roman"/>
          <w:sz w:val="24"/>
          <w:szCs w:val="24"/>
        </w:rPr>
        <w:t>）计，不得少于</w:t>
      </w:r>
      <w:r>
        <w:rPr>
          <w:rFonts w:ascii="Times New Roman" w:hAnsi="Times New Roman" w:eastAsia="宋体" w:cs="Times New Roman"/>
          <w:sz w:val="24"/>
          <w:szCs w:val="24"/>
        </w:rPr>
        <w:t>7.0%</w:t>
      </w:r>
      <w:r>
        <w:rPr>
          <w:rFonts w:hint="eastAsia" w:ascii="Times New Roman" w:hAnsi="Times New Roman" w:eastAsia="宋体" w:cs="Times New Roman"/>
          <w:sz w:val="24"/>
          <w:szCs w:val="24"/>
        </w:rPr>
        <w:t>。</w:t>
      </w:r>
    </w:p>
    <w:p w14:paraId="3243EADF">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本标准为：执行《中国药典》（2020</w:t>
      </w:r>
      <w:r>
        <w:rPr>
          <w:rFonts w:hint="eastAsia" w:ascii="Times New Roman" w:hAnsi="Times New Roman" w:eastAsia="宋体" w:cs="Times New Roman"/>
          <w:sz w:val="24"/>
          <w:szCs w:val="24"/>
        </w:rPr>
        <w:t>版）的方法：本品按干燥品计算，含黄精多糖以无水葡萄糖（</w:t>
      </w:r>
      <w:r>
        <w:rPr>
          <w:rFonts w:ascii="Times New Roman" w:hAnsi="Times New Roman" w:eastAsia="宋体" w:cs="Times New Roman"/>
          <w:sz w:val="24"/>
          <w:szCs w:val="24"/>
        </w:rPr>
        <w:t>C</w:t>
      </w:r>
      <w:r>
        <w:rPr>
          <w:rFonts w:ascii="Times New Roman" w:hAnsi="Times New Roman" w:eastAsia="宋体" w:cs="Times New Roman"/>
          <w:sz w:val="24"/>
          <w:szCs w:val="24"/>
          <w:vertAlign w:val="subscript"/>
        </w:rPr>
        <w:t>6</w:t>
      </w:r>
      <w:r>
        <w:rPr>
          <w:rFonts w:ascii="Times New Roman" w:hAnsi="Times New Roman" w:eastAsia="宋体" w:cs="Times New Roman"/>
          <w:sz w:val="24"/>
          <w:szCs w:val="24"/>
        </w:rPr>
        <w:t>H</w:t>
      </w:r>
      <w:r>
        <w:rPr>
          <w:rFonts w:ascii="Times New Roman" w:hAnsi="Times New Roman" w:eastAsia="宋体" w:cs="Times New Roman"/>
          <w:sz w:val="24"/>
          <w:szCs w:val="24"/>
          <w:vertAlign w:val="subscript"/>
        </w:rPr>
        <w:t>12</w:t>
      </w:r>
      <w:r>
        <w:rPr>
          <w:rFonts w:ascii="Times New Roman" w:hAnsi="Times New Roman" w:eastAsia="宋体" w:cs="Times New Roman"/>
          <w:sz w:val="24"/>
          <w:szCs w:val="24"/>
        </w:rPr>
        <w:t>O</w:t>
      </w:r>
      <w:r>
        <w:rPr>
          <w:rFonts w:ascii="Times New Roman" w:hAnsi="Times New Roman" w:eastAsia="宋体" w:cs="Times New Roman"/>
          <w:sz w:val="24"/>
          <w:szCs w:val="24"/>
          <w:vertAlign w:val="subscript"/>
        </w:rPr>
        <w:t>6</w:t>
      </w:r>
      <w:r>
        <w:rPr>
          <w:rFonts w:hint="eastAsia" w:ascii="Times New Roman" w:hAnsi="Times New Roman" w:eastAsia="宋体" w:cs="Times New Roman"/>
          <w:sz w:val="24"/>
          <w:szCs w:val="24"/>
        </w:rPr>
        <w:t>）计，不得少于</w:t>
      </w:r>
      <w:r>
        <w:rPr>
          <w:rFonts w:ascii="Times New Roman" w:hAnsi="Times New Roman" w:eastAsia="宋体" w:cs="Times New Roman"/>
          <w:sz w:val="24"/>
          <w:szCs w:val="24"/>
        </w:rPr>
        <w:t>7.</w:t>
      </w:r>
      <w:r>
        <w:rPr>
          <w:rFonts w:hint="eastAsia" w:ascii="Times New Roman" w:hAnsi="Times New Roman" w:eastAsia="宋体" w:cs="Times New Roman"/>
          <w:sz w:val="24"/>
          <w:szCs w:val="24"/>
        </w:rPr>
        <w:t>3</w:t>
      </w:r>
      <w:r>
        <w:rPr>
          <w:rFonts w:ascii="Times New Roman" w:hAnsi="Times New Roman" w:eastAsia="宋体" w:cs="Times New Roman"/>
          <w:sz w:val="24"/>
          <w:szCs w:val="24"/>
        </w:rPr>
        <w:t>%</w:t>
      </w:r>
      <w:r>
        <w:rPr>
          <w:rFonts w:hint="eastAsia" w:ascii="Times New Roman" w:hAnsi="Times New Roman" w:eastAsia="宋体" w:cs="Times New Roman"/>
          <w:sz w:val="24"/>
          <w:szCs w:val="24"/>
        </w:rPr>
        <w:t>。</w:t>
      </w:r>
    </w:p>
    <w:p w14:paraId="099AE517">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黄精多糖无疑是其最重要的药效物质。詹慧慧对</w:t>
      </w:r>
      <w:r>
        <w:rPr>
          <w:rFonts w:ascii="Times New Roman" w:hAnsi="Times New Roman" w:eastAsia="宋体" w:cs="Times New Roman"/>
          <w:sz w:val="24"/>
          <w:szCs w:val="24"/>
        </w:rPr>
        <w:t>16</w:t>
      </w:r>
      <w:r>
        <w:rPr>
          <w:rFonts w:hint="eastAsia" w:ascii="Times New Roman" w:hAnsi="Times New Roman" w:eastAsia="宋体" w:cs="Times New Roman"/>
          <w:sz w:val="24"/>
          <w:szCs w:val="24"/>
        </w:rPr>
        <w:t>批次的多花黄精的研究，表明：果糖含量、总多糖含量可以比较好的引起酸味、鲜味、咸味和甜味值的变化。甜味值与果糖含量存在正相关，与总多糖含量存在负相关，且较为显著；咸味值与果糖含量呈现显著负相关，与总多糖含量存在正相关；鲜味值与果糖含量存在显著负相关，与总多糖含量呈现正相关；酸味值与果糖含量呈现显著正相关，与总多糖含量也呈现正相关但相关性不显著。</w:t>
      </w:r>
    </w:p>
    <w:p w14:paraId="60B913A6">
      <w:pPr>
        <w:spacing w:line="360" w:lineRule="auto"/>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表</w:t>
      </w:r>
      <w:r>
        <w:rPr>
          <w:rFonts w:ascii="Times New Roman" w:hAnsi="Times New Roman" w:eastAsia="宋体" w:cs="Times New Roman"/>
          <w:sz w:val="24"/>
          <w:szCs w:val="21"/>
        </w:rPr>
        <w:t xml:space="preserve">4-7 </w:t>
      </w:r>
      <w:r>
        <w:rPr>
          <w:rFonts w:hint="eastAsia" w:ascii="Times New Roman" w:hAnsi="Times New Roman" w:eastAsia="宋体" w:cs="Times New Roman"/>
          <w:sz w:val="24"/>
          <w:szCs w:val="21"/>
        </w:rPr>
        <w:t>系数</w:t>
      </w:r>
    </w:p>
    <w:p w14:paraId="1562E52B">
      <w:pPr>
        <w:spacing w:line="360" w:lineRule="auto"/>
        <w:jc w:val="center"/>
        <w:rPr>
          <w:rFonts w:ascii="Times New Roman" w:hAnsi="Times New Roman" w:eastAsia="宋体" w:cs="Times New Roman"/>
          <w:sz w:val="24"/>
          <w:szCs w:val="21"/>
        </w:rPr>
      </w:pPr>
      <w:r>
        <w:rPr>
          <w:rFonts w:ascii="Times New Roman" w:hAnsi="Times New Roman" w:eastAsia="宋体" w:cs="Times New Roman"/>
          <w:sz w:val="24"/>
          <w:szCs w:val="21"/>
        </w:rPr>
        <w:t>Tab.4-7 Coefficients</w:t>
      </w:r>
    </w:p>
    <w:tbl>
      <w:tblPr>
        <w:tblStyle w:val="27"/>
        <w:tblW w:w="5000" w:type="pct"/>
        <w:jc w:val="center"/>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Layout w:type="autofit"/>
        <w:tblCellMar>
          <w:top w:w="0" w:type="dxa"/>
          <w:left w:w="0" w:type="dxa"/>
          <w:bottom w:w="0" w:type="dxa"/>
          <w:right w:w="0" w:type="dxa"/>
        </w:tblCellMar>
      </w:tblPr>
      <w:tblGrid>
        <w:gridCol w:w="657"/>
        <w:gridCol w:w="1188"/>
        <w:gridCol w:w="807"/>
        <w:gridCol w:w="915"/>
        <w:gridCol w:w="1080"/>
        <w:gridCol w:w="915"/>
        <w:gridCol w:w="915"/>
        <w:gridCol w:w="915"/>
        <w:gridCol w:w="914"/>
      </w:tblGrid>
      <w:tr w14:paraId="3B0445D5">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0" w:type="dxa"/>
            <w:bottom w:w="0" w:type="dxa"/>
            <w:right w:w="0" w:type="dxa"/>
          </w:tblCellMar>
        </w:tblPrEx>
        <w:trPr>
          <w:cantSplit/>
          <w:jc w:val="center"/>
        </w:trPr>
        <w:tc>
          <w:tcPr>
            <w:tcW w:w="1109" w:type="pct"/>
            <w:gridSpan w:val="2"/>
            <w:vMerge w:val="restart"/>
            <w:tcBorders>
              <w:top w:val="single" w:color="000000" w:sz="12" w:space="0"/>
              <w:bottom w:val="nil"/>
            </w:tcBorders>
            <w:shd w:val="clear" w:color="auto" w:fill="FFFFFF"/>
            <w:vAlign w:val="center"/>
          </w:tcPr>
          <w:p w14:paraId="715FE146">
            <w:pPr>
              <w:adjustRightInd w:val="0"/>
              <w:spacing w:line="360" w:lineRule="auto"/>
              <w:jc w:val="center"/>
              <w:rPr>
                <w:rFonts w:ascii="Times New Roman" w:hAnsi="Times New Roman" w:eastAsia="宋体" w:cs="Times New Roman"/>
                <w:kern w:val="0"/>
                <w:szCs w:val="18"/>
              </w:rPr>
            </w:pPr>
            <w:r>
              <w:rPr>
                <w:rFonts w:hint="eastAsia" w:ascii="Times New Roman" w:hAnsi="Times New Roman" w:eastAsia="宋体" w:cs="Times New Roman"/>
                <w:kern w:val="0"/>
                <w:szCs w:val="18"/>
              </w:rPr>
              <w:t>模型</w:t>
            </w:r>
          </w:p>
        </w:tc>
        <w:tc>
          <w:tcPr>
            <w:tcW w:w="1037" w:type="pct"/>
            <w:gridSpan w:val="2"/>
            <w:tcBorders>
              <w:top w:val="single" w:color="000000" w:sz="12" w:space="0"/>
              <w:bottom w:val="nil"/>
            </w:tcBorders>
            <w:shd w:val="clear" w:color="auto" w:fill="FFFFFF"/>
            <w:vAlign w:val="center"/>
          </w:tcPr>
          <w:p w14:paraId="526C5EB2">
            <w:pPr>
              <w:adjustRightInd w:val="0"/>
              <w:spacing w:line="360" w:lineRule="auto"/>
              <w:jc w:val="center"/>
              <w:rPr>
                <w:rFonts w:ascii="Times New Roman" w:hAnsi="Times New Roman" w:eastAsia="宋体" w:cs="Times New Roman"/>
                <w:kern w:val="0"/>
                <w:szCs w:val="18"/>
              </w:rPr>
            </w:pPr>
            <w:r>
              <w:rPr>
                <w:rFonts w:hint="eastAsia" w:ascii="Times New Roman" w:hAnsi="Times New Roman" w:eastAsia="宋体" w:cs="Times New Roman"/>
                <w:kern w:val="0"/>
                <w:szCs w:val="18"/>
              </w:rPr>
              <w:t>非标准化系数</w:t>
            </w:r>
          </w:p>
        </w:tc>
        <w:tc>
          <w:tcPr>
            <w:tcW w:w="650" w:type="pct"/>
            <w:tcBorders>
              <w:top w:val="single" w:color="000000" w:sz="12" w:space="0"/>
              <w:bottom w:val="nil"/>
            </w:tcBorders>
            <w:shd w:val="clear" w:color="auto" w:fill="FFFFFF"/>
            <w:vAlign w:val="center"/>
          </w:tcPr>
          <w:p w14:paraId="2F11CA01">
            <w:pPr>
              <w:adjustRightInd w:val="0"/>
              <w:spacing w:line="360" w:lineRule="auto"/>
              <w:jc w:val="center"/>
              <w:rPr>
                <w:rFonts w:ascii="Times New Roman" w:hAnsi="Times New Roman" w:eastAsia="宋体" w:cs="Times New Roman"/>
                <w:kern w:val="0"/>
                <w:szCs w:val="18"/>
              </w:rPr>
            </w:pPr>
            <w:r>
              <w:rPr>
                <w:rFonts w:hint="eastAsia" w:ascii="Times New Roman" w:hAnsi="Times New Roman" w:eastAsia="宋体" w:cs="Times New Roman"/>
                <w:kern w:val="0"/>
                <w:szCs w:val="18"/>
              </w:rPr>
              <w:t>标准化系数</w:t>
            </w:r>
          </w:p>
        </w:tc>
        <w:tc>
          <w:tcPr>
            <w:tcW w:w="551" w:type="pct"/>
            <w:vMerge w:val="restart"/>
            <w:tcBorders>
              <w:top w:val="single" w:color="000000" w:sz="12" w:space="0"/>
              <w:bottom w:val="nil"/>
            </w:tcBorders>
            <w:shd w:val="clear" w:color="auto" w:fill="FFFFFF"/>
            <w:vAlign w:val="center"/>
          </w:tcPr>
          <w:p w14:paraId="01FCD4BE">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T</w:t>
            </w:r>
          </w:p>
        </w:tc>
        <w:tc>
          <w:tcPr>
            <w:tcW w:w="551" w:type="pct"/>
            <w:vMerge w:val="restart"/>
            <w:tcBorders>
              <w:top w:val="single" w:color="000000" w:sz="12" w:space="0"/>
              <w:bottom w:val="nil"/>
            </w:tcBorders>
            <w:shd w:val="clear" w:color="auto" w:fill="FFFFFF"/>
            <w:vAlign w:val="center"/>
          </w:tcPr>
          <w:p w14:paraId="5C009AED">
            <w:pPr>
              <w:adjustRightInd w:val="0"/>
              <w:spacing w:line="360" w:lineRule="auto"/>
              <w:jc w:val="center"/>
              <w:rPr>
                <w:rFonts w:ascii="Times New Roman" w:hAnsi="Times New Roman" w:eastAsia="宋体" w:cs="Times New Roman"/>
                <w:kern w:val="0"/>
                <w:szCs w:val="18"/>
              </w:rPr>
            </w:pPr>
            <w:r>
              <w:rPr>
                <w:rFonts w:hint="eastAsia" w:ascii="Times New Roman" w:hAnsi="Times New Roman" w:eastAsia="宋体" w:cs="Times New Roman"/>
                <w:kern w:val="0"/>
                <w:szCs w:val="18"/>
              </w:rPr>
              <w:t>显著性</w:t>
            </w:r>
          </w:p>
        </w:tc>
        <w:tc>
          <w:tcPr>
            <w:tcW w:w="1102" w:type="pct"/>
            <w:gridSpan w:val="2"/>
            <w:tcBorders>
              <w:top w:val="single" w:color="000000" w:sz="12" w:space="0"/>
              <w:bottom w:val="nil"/>
            </w:tcBorders>
            <w:shd w:val="clear" w:color="auto" w:fill="FFFFFF"/>
            <w:vAlign w:val="center"/>
          </w:tcPr>
          <w:p w14:paraId="51F81903">
            <w:pPr>
              <w:adjustRightInd w:val="0"/>
              <w:spacing w:line="360" w:lineRule="auto"/>
              <w:jc w:val="center"/>
              <w:rPr>
                <w:rFonts w:ascii="Times New Roman" w:hAnsi="Times New Roman" w:eastAsia="宋体" w:cs="Times New Roman"/>
                <w:kern w:val="0"/>
                <w:szCs w:val="18"/>
              </w:rPr>
            </w:pPr>
            <w:r>
              <w:rPr>
                <w:rFonts w:hint="eastAsia" w:ascii="Times New Roman" w:hAnsi="Times New Roman" w:eastAsia="宋体" w:cs="Times New Roman"/>
                <w:kern w:val="0"/>
                <w:szCs w:val="18"/>
              </w:rPr>
              <w:t>共线性统计资料</w:t>
            </w:r>
          </w:p>
        </w:tc>
      </w:tr>
      <w:tr w14:paraId="6D9D6C22">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0" w:type="dxa"/>
            <w:bottom w:w="0" w:type="dxa"/>
            <w:right w:w="0" w:type="dxa"/>
          </w:tblCellMar>
        </w:tblPrEx>
        <w:trPr>
          <w:cantSplit/>
          <w:jc w:val="center"/>
        </w:trPr>
        <w:tc>
          <w:tcPr>
            <w:tcW w:w="1109" w:type="pct"/>
            <w:gridSpan w:val="2"/>
            <w:vMerge w:val="continue"/>
            <w:tcBorders>
              <w:top w:val="nil"/>
              <w:bottom w:val="single" w:color="000000" w:sz="8" w:space="0"/>
            </w:tcBorders>
            <w:shd w:val="clear" w:color="auto" w:fill="FFFFFF"/>
            <w:vAlign w:val="center"/>
          </w:tcPr>
          <w:p w14:paraId="3E6F401A">
            <w:pPr>
              <w:adjustRightInd w:val="0"/>
              <w:spacing w:line="360" w:lineRule="auto"/>
              <w:jc w:val="center"/>
              <w:rPr>
                <w:rFonts w:ascii="Times New Roman" w:hAnsi="Times New Roman" w:eastAsia="宋体" w:cs="Times New Roman"/>
                <w:kern w:val="0"/>
                <w:szCs w:val="18"/>
              </w:rPr>
            </w:pPr>
          </w:p>
        </w:tc>
        <w:tc>
          <w:tcPr>
            <w:tcW w:w="486" w:type="pct"/>
            <w:tcBorders>
              <w:top w:val="nil"/>
              <w:bottom w:val="single" w:color="000000" w:sz="8" w:space="0"/>
            </w:tcBorders>
            <w:shd w:val="clear" w:color="auto" w:fill="FFFFFF"/>
            <w:vAlign w:val="center"/>
          </w:tcPr>
          <w:p w14:paraId="2B97397D">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B</w:t>
            </w:r>
          </w:p>
        </w:tc>
        <w:tc>
          <w:tcPr>
            <w:tcW w:w="551" w:type="pct"/>
            <w:tcBorders>
              <w:top w:val="nil"/>
              <w:bottom w:val="single" w:color="000000" w:sz="8" w:space="0"/>
            </w:tcBorders>
            <w:shd w:val="clear" w:color="auto" w:fill="FFFFFF"/>
            <w:vAlign w:val="center"/>
          </w:tcPr>
          <w:p w14:paraId="29F3E387">
            <w:pPr>
              <w:adjustRightInd w:val="0"/>
              <w:spacing w:line="360" w:lineRule="auto"/>
              <w:jc w:val="center"/>
              <w:rPr>
                <w:rFonts w:ascii="Times New Roman" w:hAnsi="Times New Roman" w:eastAsia="宋体" w:cs="Times New Roman"/>
                <w:kern w:val="0"/>
                <w:szCs w:val="18"/>
              </w:rPr>
            </w:pPr>
            <w:r>
              <w:rPr>
                <w:rFonts w:hint="eastAsia" w:ascii="Times New Roman" w:hAnsi="Times New Roman" w:eastAsia="宋体" w:cs="Times New Roman"/>
                <w:kern w:val="0"/>
                <w:szCs w:val="18"/>
              </w:rPr>
              <w:t>标准错误</w:t>
            </w:r>
          </w:p>
        </w:tc>
        <w:tc>
          <w:tcPr>
            <w:tcW w:w="650" w:type="pct"/>
            <w:tcBorders>
              <w:top w:val="nil"/>
              <w:bottom w:val="single" w:color="000000" w:sz="8" w:space="0"/>
            </w:tcBorders>
            <w:shd w:val="clear" w:color="auto" w:fill="FFFFFF"/>
            <w:vAlign w:val="center"/>
          </w:tcPr>
          <w:p w14:paraId="4D9121DE">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Beta</w:t>
            </w:r>
          </w:p>
        </w:tc>
        <w:tc>
          <w:tcPr>
            <w:tcW w:w="551" w:type="pct"/>
            <w:vMerge w:val="continue"/>
            <w:tcBorders>
              <w:top w:val="nil"/>
              <w:bottom w:val="single" w:color="000000" w:sz="8" w:space="0"/>
            </w:tcBorders>
            <w:shd w:val="clear" w:color="auto" w:fill="FFFFFF"/>
            <w:vAlign w:val="center"/>
          </w:tcPr>
          <w:p w14:paraId="5E1C1D19">
            <w:pPr>
              <w:adjustRightInd w:val="0"/>
              <w:spacing w:line="360" w:lineRule="auto"/>
              <w:jc w:val="center"/>
              <w:rPr>
                <w:rFonts w:ascii="Times New Roman" w:hAnsi="Times New Roman" w:eastAsia="宋体" w:cs="Times New Roman"/>
                <w:kern w:val="0"/>
                <w:szCs w:val="18"/>
              </w:rPr>
            </w:pPr>
          </w:p>
        </w:tc>
        <w:tc>
          <w:tcPr>
            <w:tcW w:w="551" w:type="pct"/>
            <w:vMerge w:val="continue"/>
            <w:tcBorders>
              <w:top w:val="nil"/>
              <w:bottom w:val="single" w:color="000000" w:sz="8" w:space="0"/>
            </w:tcBorders>
            <w:shd w:val="clear" w:color="auto" w:fill="FFFFFF"/>
            <w:vAlign w:val="center"/>
          </w:tcPr>
          <w:p w14:paraId="337A2298">
            <w:pPr>
              <w:adjustRightInd w:val="0"/>
              <w:spacing w:line="360" w:lineRule="auto"/>
              <w:jc w:val="center"/>
              <w:rPr>
                <w:rFonts w:ascii="Times New Roman" w:hAnsi="Times New Roman" w:eastAsia="宋体" w:cs="Times New Roman"/>
                <w:kern w:val="0"/>
                <w:szCs w:val="18"/>
              </w:rPr>
            </w:pPr>
          </w:p>
        </w:tc>
        <w:tc>
          <w:tcPr>
            <w:tcW w:w="551" w:type="pct"/>
            <w:tcBorders>
              <w:top w:val="nil"/>
              <w:bottom w:val="single" w:color="000000" w:sz="8" w:space="0"/>
            </w:tcBorders>
            <w:shd w:val="clear" w:color="auto" w:fill="FFFFFF"/>
            <w:vAlign w:val="center"/>
          </w:tcPr>
          <w:p w14:paraId="5A8CCA72">
            <w:pPr>
              <w:adjustRightInd w:val="0"/>
              <w:spacing w:line="360" w:lineRule="auto"/>
              <w:jc w:val="center"/>
              <w:rPr>
                <w:rFonts w:ascii="Times New Roman" w:hAnsi="Times New Roman" w:eastAsia="宋体" w:cs="Times New Roman"/>
                <w:kern w:val="0"/>
                <w:szCs w:val="18"/>
              </w:rPr>
            </w:pPr>
            <w:r>
              <w:rPr>
                <w:rFonts w:hint="eastAsia" w:ascii="Times New Roman" w:hAnsi="Times New Roman" w:eastAsia="宋体" w:cs="Times New Roman"/>
                <w:kern w:val="0"/>
                <w:szCs w:val="18"/>
              </w:rPr>
              <w:t>允差</w:t>
            </w:r>
          </w:p>
        </w:tc>
        <w:tc>
          <w:tcPr>
            <w:tcW w:w="551" w:type="pct"/>
            <w:tcBorders>
              <w:top w:val="nil"/>
              <w:bottom w:val="single" w:color="000000" w:sz="8" w:space="0"/>
            </w:tcBorders>
            <w:shd w:val="clear" w:color="auto" w:fill="FFFFFF"/>
            <w:vAlign w:val="center"/>
          </w:tcPr>
          <w:p w14:paraId="6DF58723">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VIF</w:t>
            </w:r>
          </w:p>
        </w:tc>
      </w:tr>
      <w:tr w14:paraId="0984E35E">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0" w:type="dxa"/>
            <w:bottom w:w="0" w:type="dxa"/>
            <w:right w:w="0" w:type="dxa"/>
          </w:tblCellMar>
        </w:tblPrEx>
        <w:trPr>
          <w:cantSplit/>
          <w:jc w:val="center"/>
        </w:trPr>
        <w:tc>
          <w:tcPr>
            <w:tcW w:w="395" w:type="pct"/>
            <w:vMerge w:val="restart"/>
            <w:tcBorders>
              <w:top w:val="single" w:color="000000" w:sz="8" w:space="0"/>
              <w:bottom w:val="nil"/>
            </w:tcBorders>
            <w:shd w:val="clear" w:color="auto" w:fill="FFFFFF"/>
            <w:vAlign w:val="center"/>
          </w:tcPr>
          <w:p w14:paraId="21208112">
            <w:pPr>
              <w:adjustRightInd w:val="0"/>
              <w:spacing w:line="360" w:lineRule="auto"/>
              <w:jc w:val="center"/>
              <w:rPr>
                <w:rFonts w:ascii="Times New Roman" w:hAnsi="Times New Roman" w:eastAsia="宋体" w:cs="Times New Roman"/>
                <w:kern w:val="0"/>
                <w:szCs w:val="18"/>
              </w:rPr>
            </w:pPr>
            <w:r>
              <w:rPr>
                <w:rFonts w:hint="eastAsia" w:ascii="Times New Roman" w:hAnsi="Times New Roman" w:eastAsia="宋体" w:cs="Times New Roman"/>
                <w:kern w:val="0"/>
                <w:szCs w:val="18"/>
              </w:rPr>
              <w:t>酸味</w:t>
            </w:r>
          </w:p>
        </w:tc>
        <w:tc>
          <w:tcPr>
            <w:tcW w:w="715" w:type="pct"/>
            <w:tcBorders>
              <w:top w:val="single" w:color="000000" w:sz="8" w:space="0"/>
              <w:bottom w:val="nil"/>
            </w:tcBorders>
            <w:shd w:val="clear" w:color="auto" w:fill="FFFFFF"/>
            <w:vAlign w:val="center"/>
          </w:tcPr>
          <w:p w14:paraId="106F0F14">
            <w:pPr>
              <w:adjustRightInd w:val="0"/>
              <w:spacing w:line="360" w:lineRule="auto"/>
              <w:jc w:val="center"/>
              <w:rPr>
                <w:rFonts w:ascii="Times New Roman" w:hAnsi="Times New Roman" w:eastAsia="宋体" w:cs="Times New Roman"/>
                <w:kern w:val="0"/>
                <w:szCs w:val="18"/>
              </w:rPr>
            </w:pPr>
            <w:r>
              <w:rPr>
                <w:rFonts w:hint="eastAsia" w:ascii="Times New Roman" w:hAnsi="Times New Roman" w:eastAsia="宋体" w:cs="Times New Roman"/>
                <w:kern w:val="0"/>
                <w:szCs w:val="18"/>
              </w:rPr>
              <w:t>（常数）</w:t>
            </w:r>
          </w:p>
        </w:tc>
        <w:tc>
          <w:tcPr>
            <w:tcW w:w="486" w:type="pct"/>
            <w:tcBorders>
              <w:top w:val="single" w:color="000000" w:sz="8" w:space="0"/>
              <w:bottom w:val="nil"/>
            </w:tcBorders>
            <w:shd w:val="clear" w:color="auto" w:fill="FFFFFF"/>
            <w:vAlign w:val="center"/>
          </w:tcPr>
          <w:p w14:paraId="77F4D0F9">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-30.907</w:t>
            </w:r>
          </w:p>
        </w:tc>
        <w:tc>
          <w:tcPr>
            <w:tcW w:w="551" w:type="pct"/>
            <w:tcBorders>
              <w:top w:val="single" w:color="000000" w:sz="8" w:space="0"/>
              <w:bottom w:val="nil"/>
            </w:tcBorders>
            <w:shd w:val="clear" w:color="auto" w:fill="FFFFFF"/>
            <w:vAlign w:val="center"/>
          </w:tcPr>
          <w:p w14:paraId="6BCB3D98">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3.805</w:t>
            </w:r>
          </w:p>
        </w:tc>
        <w:tc>
          <w:tcPr>
            <w:tcW w:w="650" w:type="pct"/>
            <w:tcBorders>
              <w:top w:val="single" w:color="000000" w:sz="8" w:space="0"/>
              <w:bottom w:val="nil"/>
            </w:tcBorders>
            <w:shd w:val="clear" w:color="auto" w:fill="FFFFFF"/>
            <w:vAlign w:val="center"/>
          </w:tcPr>
          <w:p w14:paraId="02D5C7B1">
            <w:pPr>
              <w:adjustRightInd w:val="0"/>
              <w:spacing w:line="360" w:lineRule="auto"/>
              <w:jc w:val="center"/>
              <w:rPr>
                <w:rFonts w:ascii="Times New Roman" w:hAnsi="Times New Roman" w:eastAsia="宋体" w:cs="Times New Roman"/>
                <w:kern w:val="0"/>
                <w:szCs w:val="18"/>
              </w:rPr>
            </w:pPr>
          </w:p>
        </w:tc>
        <w:tc>
          <w:tcPr>
            <w:tcW w:w="551" w:type="pct"/>
            <w:tcBorders>
              <w:top w:val="single" w:color="000000" w:sz="8" w:space="0"/>
              <w:bottom w:val="nil"/>
            </w:tcBorders>
            <w:shd w:val="clear" w:color="auto" w:fill="FFFFFF"/>
            <w:vAlign w:val="center"/>
          </w:tcPr>
          <w:p w14:paraId="745453B5">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-8.123</w:t>
            </w:r>
          </w:p>
        </w:tc>
        <w:tc>
          <w:tcPr>
            <w:tcW w:w="551" w:type="pct"/>
            <w:tcBorders>
              <w:top w:val="single" w:color="000000" w:sz="8" w:space="0"/>
              <w:bottom w:val="nil"/>
            </w:tcBorders>
            <w:shd w:val="clear" w:color="auto" w:fill="FFFFFF"/>
            <w:vAlign w:val="center"/>
          </w:tcPr>
          <w:p w14:paraId="73CD88FC">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.000</w:t>
            </w:r>
          </w:p>
        </w:tc>
        <w:tc>
          <w:tcPr>
            <w:tcW w:w="551" w:type="pct"/>
            <w:tcBorders>
              <w:top w:val="single" w:color="000000" w:sz="8" w:space="0"/>
              <w:bottom w:val="nil"/>
            </w:tcBorders>
            <w:shd w:val="clear" w:color="auto" w:fill="FFFFFF"/>
            <w:vAlign w:val="center"/>
          </w:tcPr>
          <w:p w14:paraId="0694CE73">
            <w:pPr>
              <w:adjustRightInd w:val="0"/>
              <w:spacing w:line="360" w:lineRule="auto"/>
              <w:jc w:val="center"/>
              <w:rPr>
                <w:rFonts w:ascii="Times New Roman" w:hAnsi="Times New Roman" w:eastAsia="宋体" w:cs="Times New Roman"/>
                <w:kern w:val="0"/>
                <w:szCs w:val="18"/>
              </w:rPr>
            </w:pPr>
          </w:p>
        </w:tc>
        <w:tc>
          <w:tcPr>
            <w:tcW w:w="551" w:type="pct"/>
            <w:tcBorders>
              <w:top w:val="single" w:color="000000" w:sz="8" w:space="0"/>
              <w:bottom w:val="nil"/>
            </w:tcBorders>
            <w:shd w:val="clear" w:color="auto" w:fill="FFFFFF"/>
            <w:vAlign w:val="center"/>
          </w:tcPr>
          <w:p w14:paraId="27CCAA03">
            <w:pPr>
              <w:adjustRightInd w:val="0"/>
              <w:spacing w:line="360" w:lineRule="auto"/>
              <w:jc w:val="center"/>
              <w:rPr>
                <w:rFonts w:ascii="Times New Roman" w:hAnsi="Times New Roman" w:eastAsia="宋体" w:cs="Times New Roman"/>
                <w:kern w:val="0"/>
                <w:szCs w:val="18"/>
              </w:rPr>
            </w:pPr>
          </w:p>
        </w:tc>
      </w:tr>
      <w:tr w14:paraId="67646FBA">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0" w:type="dxa"/>
            <w:bottom w:w="0" w:type="dxa"/>
            <w:right w:w="0" w:type="dxa"/>
          </w:tblCellMar>
        </w:tblPrEx>
        <w:trPr>
          <w:cantSplit/>
          <w:jc w:val="center"/>
        </w:trPr>
        <w:tc>
          <w:tcPr>
            <w:tcW w:w="395" w:type="pct"/>
            <w:vMerge w:val="continue"/>
            <w:tcBorders>
              <w:top w:val="nil"/>
              <w:bottom w:val="nil"/>
            </w:tcBorders>
            <w:shd w:val="clear" w:color="auto" w:fill="FFFFFF"/>
            <w:vAlign w:val="center"/>
          </w:tcPr>
          <w:p w14:paraId="58C19B4C">
            <w:pPr>
              <w:adjustRightInd w:val="0"/>
              <w:spacing w:line="360" w:lineRule="auto"/>
              <w:jc w:val="center"/>
              <w:rPr>
                <w:rFonts w:ascii="Times New Roman" w:hAnsi="Times New Roman" w:eastAsia="宋体" w:cs="Times New Roman"/>
                <w:kern w:val="0"/>
                <w:szCs w:val="18"/>
              </w:rPr>
            </w:pPr>
          </w:p>
        </w:tc>
        <w:tc>
          <w:tcPr>
            <w:tcW w:w="715" w:type="pct"/>
            <w:tcBorders>
              <w:top w:val="nil"/>
              <w:bottom w:val="nil"/>
            </w:tcBorders>
            <w:shd w:val="clear" w:color="auto" w:fill="FFFFFF"/>
            <w:vAlign w:val="center"/>
          </w:tcPr>
          <w:p w14:paraId="0F52B541">
            <w:pPr>
              <w:adjustRightInd w:val="0"/>
              <w:spacing w:line="360" w:lineRule="auto"/>
              <w:jc w:val="center"/>
              <w:rPr>
                <w:rFonts w:ascii="Times New Roman" w:hAnsi="Times New Roman" w:eastAsia="宋体" w:cs="Times New Roman"/>
                <w:kern w:val="0"/>
                <w:szCs w:val="18"/>
              </w:rPr>
            </w:pPr>
            <w:r>
              <w:rPr>
                <w:rFonts w:hint="eastAsia" w:ascii="Times New Roman" w:hAnsi="Times New Roman" w:eastAsia="宋体" w:cs="Times New Roman"/>
                <w:kern w:val="0"/>
                <w:szCs w:val="18"/>
              </w:rPr>
              <w:t>果糖含量</w:t>
            </w:r>
          </w:p>
        </w:tc>
        <w:tc>
          <w:tcPr>
            <w:tcW w:w="486" w:type="pct"/>
            <w:tcBorders>
              <w:top w:val="nil"/>
              <w:bottom w:val="nil"/>
            </w:tcBorders>
            <w:shd w:val="clear" w:color="auto" w:fill="FFFFFF"/>
            <w:vAlign w:val="center"/>
          </w:tcPr>
          <w:p w14:paraId="0D70465E">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.597</w:t>
            </w:r>
          </w:p>
        </w:tc>
        <w:tc>
          <w:tcPr>
            <w:tcW w:w="551" w:type="pct"/>
            <w:tcBorders>
              <w:top w:val="nil"/>
              <w:bottom w:val="nil"/>
            </w:tcBorders>
            <w:shd w:val="clear" w:color="auto" w:fill="FFFFFF"/>
            <w:vAlign w:val="center"/>
          </w:tcPr>
          <w:p w14:paraId="4DD7D8CB">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.081</w:t>
            </w:r>
          </w:p>
        </w:tc>
        <w:tc>
          <w:tcPr>
            <w:tcW w:w="650" w:type="pct"/>
            <w:tcBorders>
              <w:top w:val="nil"/>
              <w:bottom w:val="nil"/>
            </w:tcBorders>
            <w:shd w:val="clear" w:color="auto" w:fill="FFFFFF"/>
            <w:vAlign w:val="center"/>
          </w:tcPr>
          <w:p w14:paraId="66350884">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.892</w:t>
            </w:r>
          </w:p>
        </w:tc>
        <w:tc>
          <w:tcPr>
            <w:tcW w:w="551" w:type="pct"/>
            <w:tcBorders>
              <w:top w:val="nil"/>
              <w:bottom w:val="nil"/>
            </w:tcBorders>
            <w:shd w:val="clear" w:color="auto" w:fill="FFFFFF"/>
            <w:vAlign w:val="center"/>
          </w:tcPr>
          <w:p w14:paraId="1F59F9AF">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7.334</w:t>
            </w:r>
          </w:p>
        </w:tc>
        <w:tc>
          <w:tcPr>
            <w:tcW w:w="551" w:type="pct"/>
            <w:tcBorders>
              <w:top w:val="nil"/>
              <w:bottom w:val="nil"/>
            </w:tcBorders>
            <w:shd w:val="clear" w:color="auto" w:fill="FFFFFF"/>
            <w:vAlign w:val="center"/>
          </w:tcPr>
          <w:p w14:paraId="3A795FA0">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.000</w:t>
            </w:r>
          </w:p>
        </w:tc>
        <w:tc>
          <w:tcPr>
            <w:tcW w:w="551" w:type="pct"/>
            <w:tcBorders>
              <w:top w:val="nil"/>
              <w:bottom w:val="nil"/>
            </w:tcBorders>
            <w:shd w:val="clear" w:color="auto" w:fill="FFFFFF"/>
            <w:vAlign w:val="center"/>
          </w:tcPr>
          <w:p w14:paraId="58957881">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.405</w:t>
            </w:r>
          </w:p>
        </w:tc>
        <w:tc>
          <w:tcPr>
            <w:tcW w:w="551" w:type="pct"/>
            <w:tcBorders>
              <w:top w:val="nil"/>
              <w:bottom w:val="nil"/>
            </w:tcBorders>
            <w:shd w:val="clear" w:color="auto" w:fill="FFFFFF"/>
            <w:vAlign w:val="center"/>
          </w:tcPr>
          <w:p w14:paraId="6C0CC463">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2.468</w:t>
            </w:r>
          </w:p>
        </w:tc>
      </w:tr>
      <w:tr w14:paraId="5A0CED45">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0" w:type="dxa"/>
            <w:bottom w:w="0" w:type="dxa"/>
            <w:right w:w="0" w:type="dxa"/>
          </w:tblCellMar>
        </w:tblPrEx>
        <w:trPr>
          <w:cantSplit/>
          <w:jc w:val="center"/>
        </w:trPr>
        <w:tc>
          <w:tcPr>
            <w:tcW w:w="395" w:type="pct"/>
            <w:vMerge w:val="continue"/>
            <w:tcBorders>
              <w:top w:val="nil"/>
              <w:bottom w:val="single" w:color="auto" w:sz="4" w:space="0"/>
            </w:tcBorders>
            <w:shd w:val="clear" w:color="auto" w:fill="FFFFFF"/>
            <w:vAlign w:val="center"/>
          </w:tcPr>
          <w:p w14:paraId="7AA3DC5B">
            <w:pPr>
              <w:adjustRightInd w:val="0"/>
              <w:spacing w:line="360" w:lineRule="auto"/>
              <w:jc w:val="center"/>
              <w:rPr>
                <w:rFonts w:ascii="Times New Roman" w:hAnsi="Times New Roman" w:eastAsia="宋体" w:cs="Times New Roman"/>
                <w:kern w:val="0"/>
                <w:szCs w:val="18"/>
              </w:rPr>
            </w:pPr>
          </w:p>
        </w:tc>
        <w:tc>
          <w:tcPr>
            <w:tcW w:w="715" w:type="pct"/>
            <w:tcBorders>
              <w:top w:val="nil"/>
              <w:bottom w:val="single" w:color="auto" w:sz="4" w:space="0"/>
            </w:tcBorders>
            <w:shd w:val="clear" w:color="auto" w:fill="FFFFFF"/>
            <w:vAlign w:val="center"/>
          </w:tcPr>
          <w:p w14:paraId="44FE71AE">
            <w:pPr>
              <w:adjustRightInd w:val="0"/>
              <w:spacing w:line="360" w:lineRule="auto"/>
              <w:jc w:val="center"/>
              <w:rPr>
                <w:rFonts w:ascii="Times New Roman" w:hAnsi="Times New Roman" w:eastAsia="宋体" w:cs="Times New Roman"/>
                <w:kern w:val="0"/>
                <w:szCs w:val="18"/>
              </w:rPr>
            </w:pPr>
            <w:r>
              <w:rPr>
                <w:rFonts w:hint="eastAsia" w:ascii="Times New Roman" w:hAnsi="Times New Roman" w:eastAsia="宋体" w:cs="Times New Roman"/>
                <w:kern w:val="0"/>
                <w:szCs w:val="18"/>
              </w:rPr>
              <w:t>总多糖含量</w:t>
            </w:r>
          </w:p>
        </w:tc>
        <w:tc>
          <w:tcPr>
            <w:tcW w:w="486" w:type="pct"/>
            <w:tcBorders>
              <w:top w:val="nil"/>
              <w:bottom w:val="single" w:color="auto" w:sz="4" w:space="0"/>
            </w:tcBorders>
            <w:shd w:val="clear" w:color="auto" w:fill="FFFFFF"/>
            <w:vAlign w:val="center"/>
          </w:tcPr>
          <w:p w14:paraId="053F1607">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.030</w:t>
            </w:r>
          </w:p>
        </w:tc>
        <w:tc>
          <w:tcPr>
            <w:tcW w:w="551" w:type="pct"/>
            <w:tcBorders>
              <w:top w:val="nil"/>
              <w:bottom w:val="single" w:color="auto" w:sz="4" w:space="0"/>
            </w:tcBorders>
            <w:shd w:val="clear" w:color="auto" w:fill="FFFFFF"/>
            <w:vAlign w:val="center"/>
          </w:tcPr>
          <w:p w14:paraId="1442C7AC">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.296</w:t>
            </w:r>
          </w:p>
        </w:tc>
        <w:tc>
          <w:tcPr>
            <w:tcW w:w="650" w:type="pct"/>
            <w:tcBorders>
              <w:top w:val="nil"/>
              <w:bottom w:val="single" w:color="auto" w:sz="4" w:space="0"/>
            </w:tcBorders>
            <w:shd w:val="clear" w:color="auto" w:fill="FFFFFF"/>
            <w:vAlign w:val="center"/>
          </w:tcPr>
          <w:p w14:paraId="1CDF32BB">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.013</w:t>
            </w:r>
          </w:p>
        </w:tc>
        <w:tc>
          <w:tcPr>
            <w:tcW w:w="551" w:type="pct"/>
            <w:tcBorders>
              <w:top w:val="nil"/>
              <w:bottom w:val="single" w:color="auto" w:sz="4" w:space="0"/>
            </w:tcBorders>
            <w:shd w:val="clear" w:color="auto" w:fill="FFFFFF"/>
            <w:vAlign w:val="center"/>
          </w:tcPr>
          <w:p w14:paraId="2A2F64B9">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.103</w:t>
            </w:r>
          </w:p>
        </w:tc>
        <w:tc>
          <w:tcPr>
            <w:tcW w:w="551" w:type="pct"/>
            <w:tcBorders>
              <w:top w:val="nil"/>
              <w:bottom w:val="single" w:color="auto" w:sz="4" w:space="0"/>
            </w:tcBorders>
            <w:shd w:val="clear" w:color="auto" w:fill="FFFFFF"/>
            <w:vAlign w:val="center"/>
          </w:tcPr>
          <w:p w14:paraId="6309F2D7">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.918</w:t>
            </w:r>
          </w:p>
        </w:tc>
        <w:tc>
          <w:tcPr>
            <w:tcW w:w="551" w:type="pct"/>
            <w:tcBorders>
              <w:top w:val="nil"/>
              <w:bottom w:val="single" w:color="auto" w:sz="4" w:space="0"/>
            </w:tcBorders>
            <w:shd w:val="clear" w:color="auto" w:fill="FFFFFF"/>
            <w:vAlign w:val="center"/>
          </w:tcPr>
          <w:p w14:paraId="7A6F0B2E">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.405</w:t>
            </w:r>
          </w:p>
        </w:tc>
        <w:tc>
          <w:tcPr>
            <w:tcW w:w="551" w:type="pct"/>
            <w:tcBorders>
              <w:top w:val="nil"/>
              <w:bottom w:val="single" w:color="auto" w:sz="4" w:space="0"/>
            </w:tcBorders>
            <w:shd w:val="clear" w:color="auto" w:fill="FFFFFF"/>
            <w:vAlign w:val="center"/>
          </w:tcPr>
          <w:p w14:paraId="4F263D3F">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2.468</w:t>
            </w:r>
          </w:p>
        </w:tc>
      </w:tr>
      <w:tr w14:paraId="1672BAE6">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0" w:type="dxa"/>
            <w:bottom w:w="0" w:type="dxa"/>
            <w:right w:w="0" w:type="dxa"/>
          </w:tblCellMar>
        </w:tblPrEx>
        <w:trPr>
          <w:cantSplit/>
          <w:jc w:val="center"/>
        </w:trPr>
        <w:tc>
          <w:tcPr>
            <w:tcW w:w="395" w:type="pct"/>
            <w:vMerge w:val="restart"/>
            <w:tcBorders>
              <w:top w:val="single" w:color="auto" w:sz="4" w:space="0"/>
              <w:bottom w:val="nil"/>
            </w:tcBorders>
            <w:shd w:val="clear" w:color="auto" w:fill="FFFFFF"/>
            <w:vAlign w:val="center"/>
          </w:tcPr>
          <w:p w14:paraId="4AF66FC0">
            <w:pPr>
              <w:adjustRightInd w:val="0"/>
              <w:spacing w:line="360" w:lineRule="auto"/>
              <w:jc w:val="center"/>
              <w:rPr>
                <w:rFonts w:ascii="Times New Roman" w:hAnsi="Times New Roman" w:eastAsia="宋体" w:cs="Times New Roman"/>
                <w:kern w:val="0"/>
                <w:szCs w:val="18"/>
              </w:rPr>
            </w:pPr>
            <w:r>
              <w:rPr>
                <w:rFonts w:hint="eastAsia" w:ascii="Times New Roman" w:hAnsi="Times New Roman" w:eastAsia="宋体" w:cs="Times New Roman"/>
                <w:kern w:val="0"/>
                <w:szCs w:val="18"/>
              </w:rPr>
              <w:t>鲜味</w:t>
            </w:r>
          </w:p>
        </w:tc>
        <w:tc>
          <w:tcPr>
            <w:tcW w:w="715" w:type="pct"/>
            <w:tcBorders>
              <w:top w:val="single" w:color="auto" w:sz="4" w:space="0"/>
              <w:bottom w:val="nil"/>
            </w:tcBorders>
            <w:shd w:val="clear" w:color="auto" w:fill="FFFFFF"/>
            <w:vAlign w:val="center"/>
          </w:tcPr>
          <w:p w14:paraId="108DD5FB">
            <w:pPr>
              <w:adjustRightInd w:val="0"/>
              <w:spacing w:line="360" w:lineRule="auto"/>
              <w:jc w:val="center"/>
              <w:rPr>
                <w:rFonts w:ascii="Times New Roman" w:hAnsi="Times New Roman" w:eastAsia="宋体" w:cs="Times New Roman"/>
                <w:kern w:val="0"/>
                <w:szCs w:val="18"/>
              </w:rPr>
            </w:pPr>
            <w:r>
              <w:rPr>
                <w:rFonts w:hint="eastAsia" w:ascii="Times New Roman" w:hAnsi="Times New Roman" w:eastAsia="宋体" w:cs="Times New Roman"/>
                <w:kern w:val="0"/>
                <w:szCs w:val="18"/>
              </w:rPr>
              <w:t>（常数）</w:t>
            </w:r>
          </w:p>
        </w:tc>
        <w:tc>
          <w:tcPr>
            <w:tcW w:w="486" w:type="pct"/>
            <w:tcBorders>
              <w:top w:val="single" w:color="auto" w:sz="4" w:space="0"/>
              <w:bottom w:val="nil"/>
            </w:tcBorders>
            <w:shd w:val="clear" w:color="auto" w:fill="FFFFFF"/>
            <w:vAlign w:val="center"/>
          </w:tcPr>
          <w:p w14:paraId="15775C17">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10.044</w:t>
            </w:r>
          </w:p>
        </w:tc>
        <w:tc>
          <w:tcPr>
            <w:tcW w:w="551" w:type="pct"/>
            <w:tcBorders>
              <w:top w:val="single" w:color="auto" w:sz="4" w:space="0"/>
              <w:bottom w:val="nil"/>
            </w:tcBorders>
            <w:shd w:val="clear" w:color="auto" w:fill="FFFFFF"/>
            <w:vAlign w:val="center"/>
          </w:tcPr>
          <w:p w14:paraId="22325802">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1.067</w:t>
            </w:r>
          </w:p>
        </w:tc>
        <w:tc>
          <w:tcPr>
            <w:tcW w:w="650" w:type="pct"/>
            <w:tcBorders>
              <w:top w:val="single" w:color="auto" w:sz="4" w:space="0"/>
              <w:bottom w:val="nil"/>
            </w:tcBorders>
            <w:shd w:val="clear" w:color="auto" w:fill="FFFFFF"/>
            <w:vAlign w:val="center"/>
          </w:tcPr>
          <w:p w14:paraId="232B13B8">
            <w:pPr>
              <w:adjustRightInd w:val="0"/>
              <w:spacing w:line="360" w:lineRule="auto"/>
              <w:jc w:val="center"/>
              <w:rPr>
                <w:rFonts w:ascii="Times New Roman" w:hAnsi="Times New Roman" w:eastAsia="宋体" w:cs="Times New Roman"/>
                <w:kern w:val="0"/>
                <w:szCs w:val="18"/>
              </w:rPr>
            </w:pPr>
          </w:p>
        </w:tc>
        <w:tc>
          <w:tcPr>
            <w:tcW w:w="551" w:type="pct"/>
            <w:tcBorders>
              <w:top w:val="single" w:color="auto" w:sz="4" w:space="0"/>
              <w:bottom w:val="nil"/>
            </w:tcBorders>
            <w:shd w:val="clear" w:color="auto" w:fill="FFFFFF"/>
            <w:vAlign w:val="center"/>
          </w:tcPr>
          <w:p w14:paraId="7A51F19E">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9.414</w:t>
            </w:r>
          </w:p>
        </w:tc>
        <w:tc>
          <w:tcPr>
            <w:tcW w:w="551" w:type="pct"/>
            <w:tcBorders>
              <w:top w:val="single" w:color="auto" w:sz="4" w:space="0"/>
              <w:bottom w:val="nil"/>
            </w:tcBorders>
            <w:shd w:val="clear" w:color="auto" w:fill="FFFFFF"/>
            <w:vAlign w:val="center"/>
          </w:tcPr>
          <w:p w14:paraId="13EECE63">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.000</w:t>
            </w:r>
          </w:p>
        </w:tc>
        <w:tc>
          <w:tcPr>
            <w:tcW w:w="551" w:type="pct"/>
            <w:tcBorders>
              <w:top w:val="single" w:color="auto" w:sz="4" w:space="0"/>
              <w:bottom w:val="nil"/>
            </w:tcBorders>
            <w:shd w:val="clear" w:color="auto" w:fill="FFFFFF"/>
            <w:vAlign w:val="center"/>
          </w:tcPr>
          <w:p w14:paraId="54B993CE">
            <w:pPr>
              <w:adjustRightInd w:val="0"/>
              <w:spacing w:line="360" w:lineRule="auto"/>
              <w:jc w:val="center"/>
              <w:rPr>
                <w:rFonts w:ascii="Times New Roman" w:hAnsi="Times New Roman" w:eastAsia="宋体" w:cs="Times New Roman"/>
                <w:kern w:val="0"/>
                <w:szCs w:val="18"/>
              </w:rPr>
            </w:pPr>
          </w:p>
        </w:tc>
        <w:tc>
          <w:tcPr>
            <w:tcW w:w="551" w:type="pct"/>
            <w:tcBorders>
              <w:top w:val="single" w:color="auto" w:sz="4" w:space="0"/>
              <w:bottom w:val="nil"/>
            </w:tcBorders>
            <w:shd w:val="clear" w:color="auto" w:fill="FFFFFF"/>
            <w:vAlign w:val="center"/>
          </w:tcPr>
          <w:p w14:paraId="0FDDED17">
            <w:pPr>
              <w:adjustRightInd w:val="0"/>
              <w:spacing w:line="360" w:lineRule="auto"/>
              <w:jc w:val="center"/>
              <w:rPr>
                <w:rFonts w:ascii="Times New Roman" w:hAnsi="Times New Roman" w:eastAsia="宋体" w:cs="Times New Roman"/>
                <w:kern w:val="0"/>
                <w:szCs w:val="18"/>
              </w:rPr>
            </w:pPr>
          </w:p>
        </w:tc>
      </w:tr>
      <w:tr w14:paraId="58EAF1D4">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0" w:type="dxa"/>
            <w:bottom w:w="0" w:type="dxa"/>
            <w:right w:w="0" w:type="dxa"/>
          </w:tblCellMar>
        </w:tblPrEx>
        <w:trPr>
          <w:cantSplit/>
          <w:jc w:val="center"/>
        </w:trPr>
        <w:tc>
          <w:tcPr>
            <w:tcW w:w="395" w:type="pct"/>
            <w:vMerge w:val="continue"/>
            <w:tcBorders>
              <w:top w:val="nil"/>
              <w:bottom w:val="nil"/>
            </w:tcBorders>
            <w:shd w:val="clear" w:color="auto" w:fill="FFFFFF"/>
            <w:vAlign w:val="center"/>
          </w:tcPr>
          <w:p w14:paraId="7DE3AC19">
            <w:pPr>
              <w:adjustRightInd w:val="0"/>
              <w:spacing w:line="360" w:lineRule="auto"/>
              <w:jc w:val="center"/>
              <w:rPr>
                <w:rFonts w:ascii="Times New Roman" w:hAnsi="Times New Roman" w:eastAsia="宋体" w:cs="Times New Roman"/>
                <w:kern w:val="0"/>
                <w:szCs w:val="18"/>
              </w:rPr>
            </w:pPr>
          </w:p>
        </w:tc>
        <w:tc>
          <w:tcPr>
            <w:tcW w:w="715" w:type="pct"/>
            <w:tcBorders>
              <w:top w:val="nil"/>
              <w:bottom w:val="nil"/>
            </w:tcBorders>
            <w:shd w:val="clear" w:color="auto" w:fill="FFFFFF"/>
            <w:vAlign w:val="center"/>
          </w:tcPr>
          <w:p w14:paraId="35C9A43D">
            <w:pPr>
              <w:adjustRightInd w:val="0"/>
              <w:spacing w:line="360" w:lineRule="auto"/>
              <w:jc w:val="center"/>
              <w:rPr>
                <w:rFonts w:ascii="Times New Roman" w:hAnsi="Times New Roman" w:eastAsia="宋体" w:cs="Times New Roman"/>
                <w:kern w:val="0"/>
                <w:szCs w:val="18"/>
              </w:rPr>
            </w:pPr>
            <w:r>
              <w:rPr>
                <w:rFonts w:hint="eastAsia" w:ascii="Times New Roman" w:hAnsi="Times New Roman" w:eastAsia="宋体" w:cs="Times New Roman"/>
                <w:kern w:val="0"/>
                <w:szCs w:val="18"/>
              </w:rPr>
              <w:t>果糖含量</w:t>
            </w:r>
          </w:p>
        </w:tc>
        <w:tc>
          <w:tcPr>
            <w:tcW w:w="486" w:type="pct"/>
            <w:tcBorders>
              <w:top w:val="nil"/>
              <w:bottom w:val="nil"/>
            </w:tcBorders>
            <w:shd w:val="clear" w:color="auto" w:fill="FFFFFF"/>
            <w:vAlign w:val="center"/>
          </w:tcPr>
          <w:p w14:paraId="6F1B3826">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-.197</w:t>
            </w:r>
          </w:p>
        </w:tc>
        <w:tc>
          <w:tcPr>
            <w:tcW w:w="551" w:type="pct"/>
            <w:tcBorders>
              <w:top w:val="nil"/>
              <w:bottom w:val="nil"/>
            </w:tcBorders>
            <w:shd w:val="clear" w:color="auto" w:fill="FFFFFF"/>
            <w:vAlign w:val="center"/>
          </w:tcPr>
          <w:p w14:paraId="7F6694DD">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.023</w:t>
            </w:r>
          </w:p>
        </w:tc>
        <w:tc>
          <w:tcPr>
            <w:tcW w:w="650" w:type="pct"/>
            <w:tcBorders>
              <w:top w:val="nil"/>
              <w:bottom w:val="nil"/>
            </w:tcBorders>
            <w:shd w:val="clear" w:color="auto" w:fill="FFFFFF"/>
            <w:vAlign w:val="center"/>
          </w:tcPr>
          <w:p w14:paraId="4E92BDB1">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-.822</w:t>
            </w:r>
          </w:p>
        </w:tc>
        <w:tc>
          <w:tcPr>
            <w:tcW w:w="551" w:type="pct"/>
            <w:tcBorders>
              <w:top w:val="nil"/>
              <w:bottom w:val="nil"/>
            </w:tcBorders>
            <w:shd w:val="clear" w:color="auto" w:fill="FFFFFF"/>
            <w:vAlign w:val="center"/>
          </w:tcPr>
          <w:p w14:paraId="568BDCCF">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-8.651</w:t>
            </w:r>
          </w:p>
        </w:tc>
        <w:tc>
          <w:tcPr>
            <w:tcW w:w="551" w:type="pct"/>
            <w:tcBorders>
              <w:top w:val="nil"/>
              <w:bottom w:val="nil"/>
            </w:tcBorders>
            <w:shd w:val="clear" w:color="auto" w:fill="FFFFFF"/>
            <w:vAlign w:val="center"/>
          </w:tcPr>
          <w:p w14:paraId="5888238A">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.000</w:t>
            </w:r>
          </w:p>
        </w:tc>
        <w:tc>
          <w:tcPr>
            <w:tcW w:w="551" w:type="pct"/>
            <w:tcBorders>
              <w:top w:val="nil"/>
              <w:bottom w:val="nil"/>
            </w:tcBorders>
            <w:shd w:val="clear" w:color="auto" w:fill="FFFFFF"/>
            <w:vAlign w:val="center"/>
          </w:tcPr>
          <w:p w14:paraId="6AC80A57">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.405</w:t>
            </w:r>
          </w:p>
        </w:tc>
        <w:tc>
          <w:tcPr>
            <w:tcW w:w="551" w:type="pct"/>
            <w:tcBorders>
              <w:top w:val="nil"/>
              <w:bottom w:val="nil"/>
            </w:tcBorders>
            <w:shd w:val="clear" w:color="auto" w:fill="FFFFFF"/>
            <w:vAlign w:val="center"/>
          </w:tcPr>
          <w:p w14:paraId="3F71CA6E">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2.468</w:t>
            </w:r>
          </w:p>
        </w:tc>
      </w:tr>
      <w:tr w14:paraId="77C801ED">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0" w:type="dxa"/>
            <w:bottom w:w="0" w:type="dxa"/>
            <w:right w:w="0" w:type="dxa"/>
          </w:tblCellMar>
        </w:tblPrEx>
        <w:trPr>
          <w:cantSplit/>
          <w:jc w:val="center"/>
        </w:trPr>
        <w:tc>
          <w:tcPr>
            <w:tcW w:w="395" w:type="pct"/>
            <w:vMerge w:val="continue"/>
            <w:tcBorders>
              <w:top w:val="nil"/>
              <w:bottom w:val="single" w:color="auto" w:sz="4" w:space="0"/>
            </w:tcBorders>
            <w:shd w:val="clear" w:color="auto" w:fill="FFFFFF"/>
            <w:vAlign w:val="center"/>
          </w:tcPr>
          <w:p w14:paraId="5D58BF3D">
            <w:pPr>
              <w:adjustRightInd w:val="0"/>
              <w:spacing w:line="360" w:lineRule="auto"/>
              <w:jc w:val="center"/>
              <w:rPr>
                <w:rFonts w:ascii="Times New Roman" w:hAnsi="Times New Roman" w:eastAsia="宋体" w:cs="Times New Roman"/>
                <w:kern w:val="0"/>
                <w:szCs w:val="18"/>
              </w:rPr>
            </w:pPr>
          </w:p>
        </w:tc>
        <w:tc>
          <w:tcPr>
            <w:tcW w:w="715" w:type="pct"/>
            <w:tcBorders>
              <w:top w:val="nil"/>
              <w:bottom w:val="single" w:color="auto" w:sz="4" w:space="0"/>
            </w:tcBorders>
            <w:shd w:val="clear" w:color="auto" w:fill="FFFFFF"/>
            <w:vAlign w:val="center"/>
          </w:tcPr>
          <w:p w14:paraId="2281CF7D">
            <w:pPr>
              <w:adjustRightInd w:val="0"/>
              <w:spacing w:line="360" w:lineRule="auto"/>
              <w:jc w:val="center"/>
              <w:rPr>
                <w:rFonts w:ascii="Times New Roman" w:hAnsi="Times New Roman" w:eastAsia="宋体" w:cs="Times New Roman"/>
                <w:kern w:val="0"/>
                <w:szCs w:val="18"/>
              </w:rPr>
            </w:pPr>
            <w:r>
              <w:rPr>
                <w:rFonts w:hint="eastAsia" w:ascii="Times New Roman" w:hAnsi="Times New Roman" w:eastAsia="宋体" w:cs="Times New Roman"/>
                <w:kern w:val="0"/>
                <w:szCs w:val="18"/>
              </w:rPr>
              <w:t>总多糖含量</w:t>
            </w:r>
          </w:p>
        </w:tc>
        <w:tc>
          <w:tcPr>
            <w:tcW w:w="486" w:type="pct"/>
            <w:tcBorders>
              <w:top w:val="nil"/>
              <w:bottom w:val="single" w:color="auto" w:sz="4" w:space="0"/>
            </w:tcBorders>
            <w:shd w:val="clear" w:color="auto" w:fill="FFFFFF"/>
            <w:vAlign w:val="center"/>
          </w:tcPr>
          <w:p w14:paraId="4C873077">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.118</w:t>
            </w:r>
          </w:p>
        </w:tc>
        <w:tc>
          <w:tcPr>
            <w:tcW w:w="551" w:type="pct"/>
            <w:tcBorders>
              <w:top w:val="nil"/>
              <w:bottom w:val="single" w:color="auto" w:sz="4" w:space="0"/>
            </w:tcBorders>
            <w:shd w:val="clear" w:color="auto" w:fill="FFFFFF"/>
            <w:vAlign w:val="center"/>
          </w:tcPr>
          <w:p w14:paraId="5B4F99C7">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.083</w:t>
            </w:r>
          </w:p>
        </w:tc>
        <w:tc>
          <w:tcPr>
            <w:tcW w:w="650" w:type="pct"/>
            <w:tcBorders>
              <w:top w:val="nil"/>
              <w:bottom w:val="single" w:color="auto" w:sz="4" w:space="0"/>
            </w:tcBorders>
            <w:shd w:val="clear" w:color="auto" w:fill="FFFFFF"/>
            <w:vAlign w:val="center"/>
          </w:tcPr>
          <w:p w14:paraId="029F85ED">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.135</w:t>
            </w:r>
          </w:p>
        </w:tc>
        <w:tc>
          <w:tcPr>
            <w:tcW w:w="551" w:type="pct"/>
            <w:tcBorders>
              <w:top w:val="nil"/>
              <w:bottom w:val="single" w:color="auto" w:sz="4" w:space="0"/>
            </w:tcBorders>
            <w:shd w:val="clear" w:color="auto" w:fill="FFFFFF"/>
            <w:vAlign w:val="center"/>
          </w:tcPr>
          <w:p w14:paraId="52D8A921">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1.425</w:t>
            </w:r>
          </w:p>
        </w:tc>
        <w:tc>
          <w:tcPr>
            <w:tcW w:w="551" w:type="pct"/>
            <w:tcBorders>
              <w:top w:val="nil"/>
              <w:bottom w:val="single" w:color="auto" w:sz="4" w:space="0"/>
            </w:tcBorders>
            <w:shd w:val="clear" w:color="auto" w:fill="FFFFFF"/>
            <w:vAlign w:val="center"/>
          </w:tcPr>
          <w:p w14:paraId="6A810D82">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.162</w:t>
            </w:r>
          </w:p>
        </w:tc>
        <w:tc>
          <w:tcPr>
            <w:tcW w:w="551" w:type="pct"/>
            <w:tcBorders>
              <w:top w:val="nil"/>
              <w:bottom w:val="single" w:color="auto" w:sz="4" w:space="0"/>
            </w:tcBorders>
            <w:shd w:val="clear" w:color="auto" w:fill="FFFFFF"/>
            <w:vAlign w:val="center"/>
          </w:tcPr>
          <w:p w14:paraId="11F1E106">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.405</w:t>
            </w:r>
          </w:p>
        </w:tc>
        <w:tc>
          <w:tcPr>
            <w:tcW w:w="551" w:type="pct"/>
            <w:tcBorders>
              <w:top w:val="nil"/>
              <w:bottom w:val="single" w:color="auto" w:sz="4" w:space="0"/>
            </w:tcBorders>
            <w:shd w:val="clear" w:color="auto" w:fill="FFFFFF"/>
            <w:vAlign w:val="center"/>
          </w:tcPr>
          <w:p w14:paraId="09D74218">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2.468</w:t>
            </w:r>
          </w:p>
        </w:tc>
      </w:tr>
      <w:tr w14:paraId="5262C490">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0" w:type="dxa"/>
            <w:bottom w:w="0" w:type="dxa"/>
            <w:right w:w="0" w:type="dxa"/>
          </w:tblCellMar>
        </w:tblPrEx>
        <w:trPr>
          <w:cantSplit/>
          <w:jc w:val="center"/>
        </w:trPr>
        <w:tc>
          <w:tcPr>
            <w:tcW w:w="395" w:type="pct"/>
            <w:vMerge w:val="restart"/>
            <w:tcBorders>
              <w:top w:val="single" w:color="auto" w:sz="4" w:space="0"/>
              <w:bottom w:val="nil"/>
            </w:tcBorders>
            <w:shd w:val="clear" w:color="auto" w:fill="FFFFFF"/>
            <w:vAlign w:val="center"/>
          </w:tcPr>
          <w:p w14:paraId="0C80D376">
            <w:pPr>
              <w:adjustRightInd w:val="0"/>
              <w:spacing w:line="360" w:lineRule="auto"/>
              <w:jc w:val="center"/>
              <w:rPr>
                <w:rFonts w:ascii="Times New Roman" w:hAnsi="Times New Roman" w:eastAsia="宋体" w:cs="Times New Roman"/>
                <w:kern w:val="0"/>
                <w:szCs w:val="18"/>
              </w:rPr>
            </w:pPr>
            <w:r>
              <w:rPr>
                <w:rFonts w:hint="eastAsia" w:ascii="Times New Roman" w:hAnsi="Times New Roman" w:eastAsia="宋体" w:cs="Times New Roman"/>
                <w:kern w:val="0"/>
                <w:szCs w:val="18"/>
              </w:rPr>
              <w:t>咸味</w:t>
            </w:r>
          </w:p>
        </w:tc>
        <w:tc>
          <w:tcPr>
            <w:tcW w:w="715" w:type="pct"/>
            <w:tcBorders>
              <w:top w:val="single" w:color="auto" w:sz="4" w:space="0"/>
              <w:bottom w:val="nil"/>
            </w:tcBorders>
            <w:shd w:val="clear" w:color="auto" w:fill="FFFFFF"/>
            <w:vAlign w:val="center"/>
          </w:tcPr>
          <w:p w14:paraId="1D918736">
            <w:pPr>
              <w:adjustRightInd w:val="0"/>
              <w:spacing w:line="360" w:lineRule="auto"/>
              <w:jc w:val="center"/>
              <w:rPr>
                <w:rFonts w:ascii="Times New Roman" w:hAnsi="Times New Roman" w:eastAsia="宋体" w:cs="Times New Roman"/>
                <w:kern w:val="0"/>
                <w:szCs w:val="18"/>
              </w:rPr>
            </w:pPr>
            <w:r>
              <w:rPr>
                <w:rFonts w:hint="eastAsia" w:ascii="Times New Roman" w:hAnsi="Times New Roman" w:eastAsia="宋体" w:cs="Times New Roman"/>
                <w:kern w:val="0"/>
                <w:szCs w:val="18"/>
              </w:rPr>
              <w:t>（常数）</w:t>
            </w:r>
          </w:p>
        </w:tc>
        <w:tc>
          <w:tcPr>
            <w:tcW w:w="486" w:type="pct"/>
            <w:tcBorders>
              <w:top w:val="single" w:color="auto" w:sz="4" w:space="0"/>
              <w:bottom w:val="nil"/>
            </w:tcBorders>
            <w:shd w:val="clear" w:color="auto" w:fill="FFFFFF"/>
            <w:vAlign w:val="center"/>
          </w:tcPr>
          <w:p w14:paraId="3F234DEF">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6.818</w:t>
            </w:r>
          </w:p>
        </w:tc>
        <w:tc>
          <w:tcPr>
            <w:tcW w:w="551" w:type="pct"/>
            <w:tcBorders>
              <w:top w:val="single" w:color="auto" w:sz="4" w:space="0"/>
              <w:bottom w:val="nil"/>
            </w:tcBorders>
            <w:shd w:val="clear" w:color="auto" w:fill="FFFFFF"/>
            <w:vAlign w:val="center"/>
          </w:tcPr>
          <w:p w14:paraId="20020067">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2.303</w:t>
            </w:r>
          </w:p>
        </w:tc>
        <w:tc>
          <w:tcPr>
            <w:tcW w:w="650" w:type="pct"/>
            <w:tcBorders>
              <w:top w:val="single" w:color="auto" w:sz="4" w:space="0"/>
              <w:bottom w:val="nil"/>
            </w:tcBorders>
            <w:shd w:val="clear" w:color="auto" w:fill="FFFFFF"/>
            <w:vAlign w:val="center"/>
          </w:tcPr>
          <w:p w14:paraId="2270FE99">
            <w:pPr>
              <w:adjustRightInd w:val="0"/>
              <w:spacing w:line="360" w:lineRule="auto"/>
              <w:jc w:val="center"/>
              <w:rPr>
                <w:rFonts w:ascii="Times New Roman" w:hAnsi="Times New Roman" w:eastAsia="宋体" w:cs="Times New Roman"/>
                <w:kern w:val="0"/>
                <w:szCs w:val="18"/>
              </w:rPr>
            </w:pPr>
          </w:p>
        </w:tc>
        <w:tc>
          <w:tcPr>
            <w:tcW w:w="551" w:type="pct"/>
            <w:tcBorders>
              <w:top w:val="single" w:color="auto" w:sz="4" w:space="0"/>
              <w:bottom w:val="nil"/>
            </w:tcBorders>
            <w:shd w:val="clear" w:color="auto" w:fill="FFFFFF"/>
            <w:vAlign w:val="center"/>
          </w:tcPr>
          <w:p w14:paraId="65900EA2">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2.960</w:t>
            </w:r>
          </w:p>
        </w:tc>
        <w:tc>
          <w:tcPr>
            <w:tcW w:w="551" w:type="pct"/>
            <w:tcBorders>
              <w:top w:val="single" w:color="auto" w:sz="4" w:space="0"/>
              <w:bottom w:val="nil"/>
            </w:tcBorders>
            <w:shd w:val="clear" w:color="auto" w:fill="FFFFFF"/>
            <w:vAlign w:val="center"/>
          </w:tcPr>
          <w:p w14:paraId="62A25EB8">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.005</w:t>
            </w:r>
          </w:p>
        </w:tc>
        <w:tc>
          <w:tcPr>
            <w:tcW w:w="551" w:type="pct"/>
            <w:tcBorders>
              <w:top w:val="single" w:color="auto" w:sz="4" w:space="0"/>
              <w:bottom w:val="nil"/>
            </w:tcBorders>
            <w:shd w:val="clear" w:color="auto" w:fill="FFFFFF"/>
            <w:vAlign w:val="center"/>
          </w:tcPr>
          <w:p w14:paraId="6ABBAC17">
            <w:pPr>
              <w:adjustRightInd w:val="0"/>
              <w:spacing w:line="360" w:lineRule="auto"/>
              <w:jc w:val="center"/>
              <w:rPr>
                <w:rFonts w:ascii="Times New Roman" w:hAnsi="Times New Roman" w:eastAsia="宋体" w:cs="Times New Roman"/>
                <w:kern w:val="0"/>
                <w:szCs w:val="18"/>
              </w:rPr>
            </w:pPr>
          </w:p>
        </w:tc>
        <w:tc>
          <w:tcPr>
            <w:tcW w:w="551" w:type="pct"/>
            <w:tcBorders>
              <w:top w:val="single" w:color="auto" w:sz="4" w:space="0"/>
              <w:bottom w:val="nil"/>
            </w:tcBorders>
            <w:shd w:val="clear" w:color="auto" w:fill="FFFFFF"/>
            <w:vAlign w:val="center"/>
          </w:tcPr>
          <w:p w14:paraId="269A41DA">
            <w:pPr>
              <w:adjustRightInd w:val="0"/>
              <w:spacing w:line="360" w:lineRule="auto"/>
              <w:jc w:val="center"/>
              <w:rPr>
                <w:rFonts w:ascii="Times New Roman" w:hAnsi="Times New Roman" w:eastAsia="宋体" w:cs="Times New Roman"/>
                <w:kern w:val="0"/>
                <w:szCs w:val="18"/>
              </w:rPr>
            </w:pPr>
          </w:p>
        </w:tc>
      </w:tr>
      <w:tr w14:paraId="0ECC8163">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0" w:type="dxa"/>
            <w:bottom w:w="0" w:type="dxa"/>
            <w:right w:w="0" w:type="dxa"/>
          </w:tblCellMar>
        </w:tblPrEx>
        <w:trPr>
          <w:cantSplit/>
          <w:jc w:val="center"/>
        </w:trPr>
        <w:tc>
          <w:tcPr>
            <w:tcW w:w="395" w:type="pct"/>
            <w:vMerge w:val="continue"/>
            <w:tcBorders>
              <w:top w:val="nil"/>
              <w:bottom w:val="nil"/>
            </w:tcBorders>
            <w:shd w:val="clear" w:color="auto" w:fill="FFFFFF"/>
            <w:vAlign w:val="center"/>
          </w:tcPr>
          <w:p w14:paraId="573DF662">
            <w:pPr>
              <w:adjustRightInd w:val="0"/>
              <w:spacing w:line="360" w:lineRule="auto"/>
              <w:jc w:val="center"/>
              <w:rPr>
                <w:rFonts w:ascii="Times New Roman" w:hAnsi="Times New Roman" w:eastAsia="宋体" w:cs="Times New Roman"/>
                <w:kern w:val="0"/>
                <w:szCs w:val="18"/>
              </w:rPr>
            </w:pPr>
          </w:p>
        </w:tc>
        <w:tc>
          <w:tcPr>
            <w:tcW w:w="715" w:type="pct"/>
            <w:tcBorders>
              <w:top w:val="nil"/>
              <w:bottom w:val="nil"/>
            </w:tcBorders>
            <w:shd w:val="clear" w:color="auto" w:fill="FFFFFF"/>
            <w:vAlign w:val="center"/>
          </w:tcPr>
          <w:p w14:paraId="59D4F7B3">
            <w:pPr>
              <w:adjustRightInd w:val="0"/>
              <w:spacing w:line="360" w:lineRule="auto"/>
              <w:jc w:val="center"/>
              <w:rPr>
                <w:rFonts w:ascii="Times New Roman" w:hAnsi="Times New Roman" w:eastAsia="宋体" w:cs="Times New Roman"/>
                <w:kern w:val="0"/>
                <w:szCs w:val="18"/>
              </w:rPr>
            </w:pPr>
            <w:r>
              <w:rPr>
                <w:rFonts w:hint="eastAsia" w:ascii="Times New Roman" w:hAnsi="Times New Roman" w:eastAsia="宋体" w:cs="Times New Roman"/>
                <w:kern w:val="0"/>
                <w:szCs w:val="18"/>
              </w:rPr>
              <w:t>果糖含量</w:t>
            </w:r>
          </w:p>
        </w:tc>
        <w:tc>
          <w:tcPr>
            <w:tcW w:w="486" w:type="pct"/>
            <w:tcBorders>
              <w:top w:val="nil"/>
              <w:bottom w:val="nil"/>
            </w:tcBorders>
            <w:shd w:val="clear" w:color="auto" w:fill="FFFFFF"/>
            <w:vAlign w:val="center"/>
          </w:tcPr>
          <w:p w14:paraId="31D738B0">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-.165</w:t>
            </w:r>
          </w:p>
        </w:tc>
        <w:tc>
          <w:tcPr>
            <w:tcW w:w="551" w:type="pct"/>
            <w:tcBorders>
              <w:top w:val="nil"/>
              <w:bottom w:val="nil"/>
            </w:tcBorders>
            <w:shd w:val="clear" w:color="auto" w:fill="FFFFFF"/>
            <w:vAlign w:val="center"/>
          </w:tcPr>
          <w:p w14:paraId="378C0BCB">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.049</w:t>
            </w:r>
          </w:p>
        </w:tc>
        <w:tc>
          <w:tcPr>
            <w:tcW w:w="650" w:type="pct"/>
            <w:tcBorders>
              <w:top w:val="nil"/>
              <w:bottom w:val="nil"/>
            </w:tcBorders>
            <w:shd w:val="clear" w:color="auto" w:fill="FFFFFF"/>
            <w:vAlign w:val="center"/>
          </w:tcPr>
          <w:p w14:paraId="3E032BD1">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-.637</w:t>
            </w:r>
          </w:p>
        </w:tc>
        <w:tc>
          <w:tcPr>
            <w:tcW w:w="551" w:type="pct"/>
            <w:tcBorders>
              <w:top w:val="nil"/>
              <w:bottom w:val="nil"/>
            </w:tcBorders>
            <w:shd w:val="clear" w:color="auto" w:fill="FFFFFF"/>
            <w:vAlign w:val="center"/>
          </w:tcPr>
          <w:p w14:paraId="160A2380">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-3.360</w:t>
            </w:r>
          </w:p>
        </w:tc>
        <w:tc>
          <w:tcPr>
            <w:tcW w:w="551" w:type="pct"/>
            <w:tcBorders>
              <w:top w:val="nil"/>
              <w:bottom w:val="nil"/>
            </w:tcBorders>
            <w:shd w:val="clear" w:color="auto" w:fill="FFFFFF"/>
            <w:vAlign w:val="center"/>
          </w:tcPr>
          <w:p w14:paraId="136F11D3">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.002</w:t>
            </w:r>
          </w:p>
        </w:tc>
        <w:tc>
          <w:tcPr>
            <w:tcW w:w="551" w:type="pct"/>
            <w:tcBorders>
              <w:top w:val="nil"/>
              <w:bottom w:val="nil"/>
            </w:tcBorders>
            <w:shd w:val="clear" w:color="auto" w:fill="FFFFFF"/>
            <w:vAlign w:val="center"/>
          </w:tcPr>
          <w:p w14:paraId="0E1DE95C">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.405</w:t>
            </w:r>
          </w:p>
        </w:tc>
        <w:tc>
          <w:tcPr>
            <w:tcW w:w="551" w:type="pct"/>
            <w:tcBorders>
              <w:top w:val="nil"/>
              <w:bottom w:val="nil"/>
            </w:tcBorders>
            <w:shd w:val="clear" w:color="auto" w:fill="FFFFFF"/>
            <w:vAlign w:val="center"/>
          </w:tcPr>
          <w:p w14:paraId="3DEF0817">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2.468</w:t>
            </w:r>
          </w:p>
        </w:tc>
      </w:tr>
      <w:tr w14:paraId="4C467FB1">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0" w:type="dxa"/>
            <w:bottom w:w="0" w:type="dxa"/>
            <w:right w:w="0" w:type="dxa"/>
          </w:tblCellMar>
        </w:tblPrEx>
        <w:trPr>
          <w:cantSplit/>
          <w:jc w:val="center"/>
        </w:trPr>
        <w:tc>
          <w:tcPr>
            <w:tcW w:w="395" w:type="pct"/>
            <w:vMerge w:val="continue"/>
            <w:tcBorders>
              <w:top w:val="nil"/>
              <w:bottom w:val="single" w:color="auto" w:sz="4" w:space="0"/>
            </w:tcBorders>
            <w:shd w:val="clear" w:color="auto" w:fill="FFFFFF"/>
            <w:vAlign w:val="center"/>
          </w:tcPr>
          <w:p w14:paraId="54D9F9CE">
            <w:pPr>
              <w:adjustRightInd w:val="0"/>
              <w:spacing w:line="360" w:lineRule="auto"/>
              <w:jc w:val="center"/>
              <w:rPr>
                <w:rFonts w:ascii="Times New Roman" w:hAnsi="Times New Roman" w:eastAsia="宋体" w:cs="Times New Roman"/>
                <w:kern w:val="0"/>
                <w:szCs w:val="18"/>
              </w:rPr>
            </w:pPr>
          </w:p>
        </w:tc>
        <w:tc>
          <w:tcPr>
            <w:tcW w:w="715" w:type="pct"/>
            <w:tcBorders>
              <w:top w:val="nil"/>
              <w:bottom w:val="single" w:color="auto" w:sz="4" w:space="0"/>
            </w:tcBorders>
            <w:shd w:val="clear" w:color="auto" w:fill="FFFFFF"/>
            <w:vAlign w:val="center"/>
          </w:tcPr>
          <w:p w14:paraId="72F0433D">
            <w:pPr>
              <w:adjustRightInd w:val="0"/>
              <w:spacing w:line="360" w:lineRule="auto"/>
              <w:jc w:val="center"/>
              <w:rPr>
                <w:rFonts w:ascii="Times New Roman" w:hAnsi="Times New Roman" w:eastAsia="宋体" w:cs="Times New Roman"/>
                <w:kern w:val="0"/>
                <w:szCs w:val="18"/>
              </w:rPr>
            </w:pPr>
            <w:r>
              <w:rPr>
                <w:rFonts w:hint="eastAsia" w:ascii="Times New Roman" w:hAnsi="Times New Roman" w:eastAsia="宋体" w:cs="Times New Roman"/>
                <w:kern w:val="0"/>
                <w:szCs w:val="18"/>
              </w:rPr>
              <w:t>总多糖含量</w:t>
            </w:r>
          </w:p>
        </w:tc>
        <w:tc>
          <w:tcPr>
            <w:tcW w:w="486" w:type="pct"/>
            <w:tcBorders>
              <w:top w:val="nil"/>
              <w:bottom w:val="single" w:color="auto" w:sz="4" w:space="0"/>
            </w:tcBorders>
            <w:shd w:val="clear" w:color="auto" w:fill="FFFFFF"/>
            <w:vAlign w:val="center"/>
          </w:tcPr>
          <w:p w14:paraId="4CDCEB44">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.051</w:t>
            </w:r>
          </w:p>
        </w:tc>
        <w:tc>
          <w:tcPr>
            <w:tcW w:w="551" w:type="pct"/>
            <w:tcBorders>
              <w:top w:val="nil"/>
              <w:bottom w:val="single" w:color="auto" w:sz="4" w:space="0"/>
            </w:tcBorders>
            <w:shd w:val="clear" w:color="auto" w:fill="FFFFFF"/>
            <w:vAlign w:val="center"/>
          </w:tcPr>
          <w:p w14:paraId="6A8E364B">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.179</w:t>
            </w:r>
          </w:p>
        </w:tc>
        <w:tc>
          <w:tcPr>
            <w:tcW w:w="650" w:type="pct"/>
            <w:tcBorders>
              <w:top w:val="nil"/>
              <w:bottom w:val="single" w:color="auto" w:sz="4" w:space="0"/>
            </w:tcBorders>
            <w:shd w:val="clear" w:color="auto" w:fill="FFFFFF"/>
            <w:vAlign w:val="center"/>
          </w:tcPr>
          <w:p w14:paraId="17C1E1F9">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.054</w:t>
            </w:r>
          </w:p>
        </w:tc>
        <w:tc>
          <w:tcPr>
            <w:tcW w:w="551" w:type="pct"/>
            <w:tcBorders>
              <w:top w:val="nil"/>
              <w:bottom w:val="single" w:color="auto" w:sz="4" w:space="0"/>
            </w:tcBorders>
            <w:shd w:val="clear" w:color="auto" w:fill="FFFFFF"/>
            <w:vAlign w:val="center"/>
          </w:tcPr>
          <w:p w14:paraId="1244F8AF">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.282</w:t>
            </w:r>
          </w:p>
        </w:tc>
        <w:tc>
          <w:tcPr>
            <w:tcW w:w="551" w:type="pct"/>
            <w:tcBorders>
              <w:top w:val="nil"/>
              <w:bottom w:val="single" w:color="auto" w:sz="4" w:space="0"/>
            </w:tcBorders>
            <w:shd w:val="clear" w:color="auto" w:fill="FFFFFF"/>
            <w:vAlign w:val="center"/>
          </w:tcPr>
          <w:p w14:paraId="6F08765D">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.779</w:t>
            </w:r>
          </w:p>
        </w:tc>
        <w:tc>
          <w:tcPr>
            <w:tcW w:w="551" w:type="pct"/>
            <w:tcBorders>
              <w:top w:val="nil"/>
              <w:bottom w:val="single" w:color="auto" w:sz="4" w:space="0"/>
            </w:tcBorders>
            <w:shd w:val="clear" w:color="auto" w:fill="FFFFFF"/>
            <w:vAlign w:val="center"/>
          </w:tcPr>
          <w:p w14:paraId="375927E8">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.405</w:t>
            </w:r>
          </w:p>
        </w:tc>
        <w:tc>
          <w:tcPr>
            <w:tcW w:w="551" w:type="pct"/>
            <w:tcBorders>
              <w:top w:val="nil"/>
              <w:bottom w:val="single" w:color="auto" w:sz="4" w:space="0"/>
            </w:tcBorders>
            <w:shd w:val="clear" w:color="auto" w:fill="FFFFFF"/>
            <w:vAlign w:val="center"/>
          </w:tcPr>
          <w:p w14:paraId="6A69E585">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2.468</w:t>
            </w:r>
          </w:p>
        </w:tc>
      </w:tr>
      <w:tr w14:paraId="0E0C701D">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0" w:type="dxa"/>
            <w:bottom w:w="0" w:type="dxa"/>
            <w:right w:w="0" w:type="dxa"/>
          </w:tblCellMar>
        </w:tblPrEx>
        <w:trPr>
          <w:cantSplit/>
          <w:jc w:val="center"/>
        </w:trPr>
        <w:tc>
          <w:tcPr>
            <w:tcW w:w="395" w:type="pct"/>
            <w:vMerge w:val="restart"/>
            <w:tcBorders>
              <w:top w:val="single" w:color="auto" w:sz="4" w:space="0"/>
            </w:tcBorders>
            <w:shd w:val="clear" w:color="auto" w:fill="FFFFFF"/>
            <w:vAlign w:val="center"/>
          </w:tcPr>
          <w:p w14:paraId="2A487A56">
            <w:pPr>
              <w:adjustRightInd w:val="0"/>
              <w:spacing w:line="360" w:lineRule="auto"/>
              <w:jc w:val="center"/>
              <w:rPr>
                <w:rFonts w:ascii="Times New Roman" w:hAnsi="Times New Roman" w:eastAsia="宋体" w:cs="Times New Roman"/>
                <w:kern w:val="0"/>
                <w:szCs w:val="18"/>
              </w:rPr>
            </w:pPr>
            <w:r>
              <w:rPr>
                <w:rFonts w:hint="eastAsia" w:ascii="Times New Roman" w:hAnsi="Times New Roman" w:eastAsia="宋体" w:cs="Times New Roman"/>
                <w:kern w:val="0"/>
                <w:szCs w:val="18"/>
              </w:rPr>
              <w:t>甜味</w:t>
            </w:r>
          </w:p>
        </w:tc>
        <w:tc>
          <w:tcPr>
            <w:tcW w:w="715" w:type="pct"/>
            <w:tcBorders>
              <w:top w:val="single" w:color="auto" w:sz="4" w:space="0"/>
            </w:tcBorders>
            <w:shd w:val="clear" w:color="auto" w:fill="FFFFFF"/>
            <w:vAlign w:val="center"/>
          </w:tcPr>
          <w:p w14:paraId="3353047E">
            <w:pPr>
              <w:adjustRightInd w:val="0"/>
              <w:spacing w:line="360" w:lineRule="auto"/>
              <w:jc w:val="center"/>
              <w:rPr>
                <w:rFonts w:ascii="Times New Roman" w:hAnsi="Times New Roman" w:eastAsia="宋体" w:cs="Times New Roman"/>
                <w:kern w:val="0"/>
                <w:szCs w:val="18"/>
              </w:rPr>
            </w:pPr>
            <w:r>
              <w:rPr>
                <w:rFonts w:hint="eastAsia" w:ascii="Times New Roman" w:hAnsi="Times New Roman" w:eastAsia="宋体" w:cs="Times New Roman"/>
                <w:kern w:val="0"/>
                <w:szCs w:val="18"/>
              </w:rPr>
              <w:t>（常数）</w:t>
            </w:r>
          </w:p>
        </w:tc>
        <w:tc>
          <w:tcPr>
            <w:tcW w:w="486" w:type="pct"/>
            <w:tcBorders>
              <w:top w:val="single" w:color="auto" w:sz="4" w:space="0"/>
            </w:tcBorders>
            <w:shd w:val="clear" w:color="auto" w:fill="FFFFFF"/>
            <w:vAlign w:val="center"/>
          </w:tcPr>
          <w:p w14:paraId="41FF4E55">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2.253</w:t>
            </w:r>
          </w:p>
        </w:tc>
        <w:tc>
          <w:tcPr>
            <w:tcW w:w="551" w:type="pct"/>
            <w:tcBorders>
              <w:top w:val="single" w:color="auto" w:sz="4" w:space="0"/>
            </w:tcBorders>
            <w:shd w:val="clear" w:color="auto" w:fill="FFFFFF"/>
            <w:vAlign w:val="center"/>
          </w:tcPr>
          <w:p w14:paraId="251A1FAD">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1.534</w:t>
            </w:r>
          </w:p>
        </w:tc>
        <w:tc>
          <w:tcPr>
            <w:tcW w:w="650" w:type="pct"/>
            <w:tcBorders>
              <w:top w:val="single" w:color="auto" w:sz="4" w:space="0"/>
            </w:tcBorders>
            <w:shd w:val="clear" w:color="auto" w:fill="FFFFFF"/>
            <w:vAlign w:val="center"/>
          </w:tcPr>
          <w:p w14:paraId="3B2E86B7">
            <w:pPr>
              <w:adjustRightInd w:val="0"/>
              <w:spacing w:line="360" w:lineRule="auto"/>
              <w:jc w:val="center"/>
              <w:rPr>
                <w:rFonts w:ascii="Times New Roman" w:hAnsi="Times New Roman" w:eastAsia="宋体" w:cs="Times New Roman"/>
                <w:kern w:val="0"/>
                <w:szCs w:val="18"/>
              </w:rPr>
            </w:pPr>
          </w:p>
        </w:tc>
        <w:tc>
          <w:tcPr>
            <w:tcW w:w="551" w:type="pct"/>
            <w:tcBorders>
              <w:top w:val="single" w:color="auto" w:sz="4" w:space="0"/>
            </w:tcBorders>
            <w:shd w:val="clear" w:color="auto" w:fill="FFFFFF"/>
            <w:vAlign w:val="center"/>
          </w:tcPr>
          <w:p w14:paraId="75DBBE28">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1.469</w:t>
            </w:r>
          </w:p>
        </w:tc>
        <w:tc>
          <w:tcPr>
            <w:tcW w:w="551" w:type="pct"/>
            <w:tcBorders>
              <w:top w:val="single" w:color="auto" w:sz="4" w:space="0"/>
            </w:tcBorders>
            <w:shd w:val="clear" w:color="auto" w:fill="FFFFFF"/>
            <w:vAlign w:val="center"/>
          </w:tcPr>
          <w:p w14:paraId="4511DB04">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.150</w:t>
            </w:r>
          </w:p>
        </w:tc>
        <w:tc>
          <w:tcPr>
            <w:tcW w:w="551" w:type="pct"/>
            <w:tcBorders>
              <w:top w:val="single" w:color="auto" w:sz="4" w:space="0"/>
            </w:tcBorders>
            <w:shd w:val="clear" w:color="auto" w:fill="FFFFFF"/>
            <w:vAlign w:val="center"/>
          </w:tcPr>
          <w:p w14:paraId="709D5DE3">
            <w:pPr>
              <w:adjustRightInd w:val="0"/>
              <w:spacing w:line="360" w:lineRule="auto"/>
              <w:jc w:val="center"/>
              <w:rPr>
                <w:rFonts w:ascii="Times New Roman" w:hAnsi="Times New Roman" w:eastAsia="宋体" w:cs="Times New Roman"/>
                <w:kern w:val="0"/>
                <w:szCs w:val="18"/>
              </w:rPr>
            </w:pPr>
          </w:p>
        </w:tc>
        <w:tc>
          <w:tcPr>
            <w:tcW w:w="551" w:type="pct"/>
            <w:tcBorders>
              <w:top w:val="single" w:color="auto" w:sz="4" w:space="0"/>
            </w:tcBorders>
            <w:shd w:val="clear" w:color="auto" w:fill="FFFFFF"/>
            <w:vAlign w:val="center"/>
          </w:tcPr>
          <w:p w14:paraId="4C31FA25">
            <w:pPr>
              <w:adjustRightInd w:val="0"/>
              <w:spacing w:line="360" w:lineRule="auto"/>
              <w:jc w:val="center"/>
              <w:rPr>
                <w:rFonts w:ascii="Times New Roman" w:hAnsi="Times New Roman" w:eastAsia="宋体" w:cs="Times New Roman"/>
                <w:kern w:val="0"/>
                <w:szCs w:val="18"/>
              </w:rPr>
            </w:pPr>
          </w:p>
        </w:tc>
      </w:tr>
      <w:tr w14:paraId="7FCE1743">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0" w:type="dxa"/>
            <w:bottom w:w="0" w:type="dxa"/>
            <w:right w:w="0" w:type="dxa"/>
          </w:tblCellMar>
        </w:tblPrEx>
        <w:trPr>
          <w:cantSplit/>
          <w:jc w:val="center"/>
        </w:trPr>
        <w:tc>
          <w:tcPr>
            <w:tcW w:w="395" w:type="pct"/>
            <w:vMerge w:val="continue"/>
            <w:shd w:val="clear" w:color="auto" w:fill="FFFFFF"/>
            <w:vAlign w:val="center"/>
          </w:tcPr>
          <w:p w14:paraId="46A6A4F2">
            <w:pPr>
              <w:adjustRightInd w:val="0"/>
              <w:spacing w:line="360" w:lineRule="auto"/>
              <w:jc w:val="center"/>
              <w:rPr>
                <w:rFonts w:ascii="Times New Roman" w:hAnsi="Times New Roman" w:eastAsia="宋体" w:cs="Times New Roman"/>
                <w:kern w:val="0"/>
                <w:szCs w:val="18"/>
              </w:rPr>
            </w:pPr>
          </w:p>
        </w:tc>
        <w:tc>
          <w:tcPr>
            <w:tcW w:w="715" w:type="pct"/>
            <w:shd w:val="clear" w:color="auto" w:fill="FFFFFF"/>
            <w:vAlign w:val="center"/>
          </w:tcPr>
          <w:p w14:paraId="1909E2D0">
            <w:pPr>
              <w:adjustRightInd w:val="0"/>
              <w:spacing w:line="360" w:lineRule="auto"/>
              <w:jc w:val="center"/>
              <w:rPr>
                <w:rFonts w:ascii="Times New Roman" w:hAnsi="Times New Roman" w:eastAsia="宋体" w:cs="Times New Roman"/>
                <w:kern w:val="0"/>
                <w:szCs w:val="18"/>
              </w:rPr>
            </w:pPr>
            <w:r>
              <w:rPr>
                <w:rFonts w:hint="eastAsia" w:ascii="Times New Roman" w:hAnsi="Times New Roman" w:eastAsia="宋体" w:cs="Times New Roman"/>
                <w:kern w:val="0"/>
                <w:szCs w:val="18"/>
              </w:rPr>
              <w:t>果糖含量</w:t>
            </w:r>
          </w:p>
        </w:tc>
        <w:tc>
          <w:tcPr>
            <w:tcW w:w="486" w:type="pct"/>
            <w:shd w:val="clear" w:color="auto" w:fill="FFFFFF"/>
            <w:vAlign w:val="center"/>
          </w:tcPr>
          <w:p w14:paraId="52768795">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.143</w:t>
            </w:r>
          </w:p>
        </w:tc>
        <w:tc>
          <w:tcPr>
            <w:tcW w:w="551" w:type="pct"/>
            <w:shd w:val="clear" w:color="auto" w:fill="FFFFFF"/>
            <w:vAlign w:val="center"/>
          </w:tcPr>
          <w:p w14:paraId="1FA0F0BE">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.033</w:t>
            </w:r>
          </w:p>
        </w:tc>
        <w:tc>
          <w:tcPr>
            <w:tcW w:w="650" w:type="pct"/>
            <w:shd w:val="clear" w:color="auto" w:fill="FFFFFF"/>
            <w:vAlign w:val="center"/>
          </w:tcPr>
          <w:p w14:paraId="13484D07">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.566</w:t>
            </w:r>
          </w:p>
        </w:tc>
        <w:tc>
          <w:tcPr>
            <w:tcW w:w="551" w:type="pct"/>
            <w:shd w:val="clear" w:color="auto" w:fill="FFFFFF"/>
            <w:vAlign w:val="center"/>
          </w:tcPr>
          <w:p w14:paraId="6D8E2C99">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4.363</w:t>
            </w:r>
          </w:p>
        </w:tc>
        <w:tc>
          <w:tcPr>
            <w:tcW w:w="551" w:type="pct"/>
            <w:shd w:val="clear" w:color="auto" w:fill="FFFFFF"/>
            <w:vAlign w:val="center"/>
          </w:tcPr>
          <w:p w14:paraId="2922A3E1">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.000</w:t>
            </w:r>
          </w:p>
        </w:tc>
        <w:tc>
          <w:tcPr>
            <w:tcW w:w="551" w:type="pct"/>
            <w:shd w:val="clear" w:color="auto" w:fill="FFFFFF"/>
            <w:vAlign w:val="center"/>
          </w:tcPr>
          <w:p w14:paraId="30E05A9D">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.405</w:t>
            </w:r>
          </w:p>
        </w:tc>
        <w:tc>
          <w:tcPr>
            <w:tcW w:w="551" w:type="pct"/>
            <w:shd w:val="clear" w:color="auto" w:fill="FFFFFF"/>
            <w:vAlign w:val="center"/>
          </w:tcPr>
          <w:p w14:paraId="35CD37A6">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2.468</w:t>
            </w:r>
          </w:p>
        </w:tc>
      </w:tr>
      <w:tr w14:paraId="1F32F84F">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0" w:type="dxa"/>
            <w:bottom w:w="0" w:type="dxa"/>
            <w:right w:w="0" w:type="dxa"/>
          </w:tblCellMar>
        </w:tblPrEx>
        <w:trPr>
          <w:cantSplit/>
          <w:jc w:val="center"/>
        </w:trPr>
        <w:tc>
          <w:tcPr>
            <w:tcW w:w="395" w:type="pct"/>
            <w:vMerge w:val="continue"/>
            <w:shd w:val="clear" w:color="auto" w:fill="FFFFFF"/>
            <w:vAlign w:val="center"/>
          </w:tcPr>
          <w:p w14:paraId="0FFCBA6D">
            <w:pPr>
              <w:adjustRightInd w:val="0"/>
              <w:spacing w:line="360" w:lineRule="auto"/>
              <w:jc w:val="center"/>
              <w:rPr>
                <w:rFonts w:ascii="Times New Roman" w:hAnsi="Times New Roman" w:eastAsia="宋体" w:cs="Times New Roman"/>
                <w:kern w:val="0"/>
                <w:szCs w:val="18"/>
              </w:rPr>
            </w:pPr>
          </w:p>
        </w:tc>
        <w:tc>
          <w:tcPr>
            <w:tcW w:w="715" w:type="pct"/>
            <w:shd w:val="clear" w:color="auto" w:fill="FFFFFF"/>
            <w:vAlign w:val="center"/>
          </w:tcPr>
          <w:p w14:paraId="0F154207">
            <w:pPr>
              <w:adjustRightInd w:val="0"/>
              <w:spacing w:line="360" w:lineRule="auto"/>
              <w:jc w:val="center"/>
              <w:rPr>
                <w:rFonts w:ascii="Times New Roman" w:hAnsi="Times New Roman" w:eastAsia="宋体" w:cs="Times New Roman"/>
                <w:kern w:val="0"/>
                <w:szCs w:val="18"/>
              </w:rPr>
            </w:pPr>
            <w:r>
              <w:rPr>
                <w:rFonts w:hint="eastAsia" w:ascii="Times New Roman" w:hAnsi="Times New Roman" w:eastAsia="宋体" w:cs="Times New Roman"/>
                <w:kern w:val="0"/>
                <w:szCs w:val="18"/>
              </w:rPr>
              <w:t>总多糖含量</w:t>
            </w:r>
          </w:p>
        </w:tc>
        <w:tc>
          <w:tcPr>
            <w:tcW w:w="486" w:type="pct"/>
            <w:shd w:val="clear" w:color="auto" w:fill="FFFFFF"/>
            <w:vAlign w:val="center"/>
          </w:tcPr>
          <w:p w14:paraId="43983225">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-.322</w:t>
            </w:r>
          </w:p>
        </w:tc>
        <w:tc>
          <w:tcPr>
            <w:tcW w:w="551" w:type="pct"/>
            <w:shd w:val="clear" w:color="auto" w:fill="FFFFFF"/>
            <w:vAlign w:val="center"/>
          </w:tcPr>
          <w:p w14:paraId="3257E652">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.119</w:t>
            </w:r>
          </w:p>
        </w:tc>
        <w:tc>
          <w:tcPr>
            <w:tcW w:w="650" w:type="pct"/>
            <w:shd w:val="clear" w:color="auto" w:fill="FFFFFF"/>
            <w:vAlign w:val="center"/>
          </w:tcPr>
          <w:p w14:paraId="68AB41FA">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-.350</w:t>
            </w:r>
          </w:p>
        </w:tc>
        <w:tc>
          <w:tcPr>
            <w:tcW w:w="551" w:type="pct"/>
            <w:shd w:val="clear" w:color="auto" w:fill="FFFFFF"/>
            <w:vAlign w:val="center"/>
          </w:tcPr>
          <w:p w14:paraId="3B0B007F">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-2.699</w:t>
            </w:r>
          </w:p>
        </w:tc>
        <w:tc>
          <w:tcPr>
            <w:tcW w:w="551" w:type="pct"/>
            <w:shd w:val="clear" w:color="auto" w:fill="FFFFFF"/>
            <w:vAlign w:val="center"/>
          </w:tcPr>
          <w:p w14:paraId="2FEBD04E">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.010</w:t>
            </w:r>
          </w:p>
        </w:tc>
        <w:tc>
          <w:tcPr>
            <w:tcW w:w="551" w:type="pct"/>
            <w:shd w:val="clear" w:color="auto" w:fill="FFFFFF"/>
            <w:vAlign w:val="center"/>
          </w:tcPr>
          <w:p w14:paraId="0B047AFE">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.405</w:t>
            </w:r>
          </w:p>
        </w:tc>
        <w:tc>
          <w:tcPr>
            <w:tcW w:w="551" w:type="pct"/>
            <w:shd w:val="clear" w:color="auto" w:fill="FFFFFF"/>
            <w:vAlign w:val="center"/>
          </w:tcPr>
          <w:p w14:paraId="4772C770">
            <w:pPr>
              <w:adjustRightInd w:val="0"/>
              <w:spacing w:line="360" w:lineRule="auto"/>
              <w:jc w:val="center"/>
              <w:rPr>
                <w:rFonts w:ascii="Times New Roman" w:hAnsi="Times New Roman" w:eastAsia="宋体" w:cs="Times New Roman"/>
                <w:kern w:val="0"/>
                <w:szCs w:val="18"/>
              </w:rPr>
            </w:pPr>
            <w:r>
              <w:rPr>
                <w:rFonts w:ascii="Times New Roman" w:hAnsi="Times New Roman" w:eastAsia="宋体" w:cs="Times New Roman"/>
                <w:kern w:val="0"/>
                <w:szCs w:val="18"/>
              </w:rPr>
              <w:t>2.468</w:t>
            </w:r>
          </w:p>
        </w:tc>
      </w:tr>
    </w:tbl>
    <w:p w14:paraId="6F488F08">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结合该结果说明：果糖、总多糖含量与酸味、甜味、咸味与鲜味密切相关。都直接反映了黄精的内在质量。</w:t>
      </w:r>
      <w:bookmarkStart w:id="26" w:name="_Toc106180479"/>
    </w:p>
    <w:p w14:paraId="06A8F15F">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梁焕焕（江西农大，</w:t>
      </w:r>
      <w:r>
        <w:rPr>
          <w:rFonts w:ascii="Times New Roman" w:hAnsi="Times New Roman" w:eastAsia="宋体" w:cs="Times New Roman"/>
          <w:sz w:val="24"/>
          <w:szCs w:val="24"/>
        </w:rPr>
        <w:t>2022</w:t>
      </w:r>
      <w:r>
        <w:rPr>
          <w:rFonts w:hint="eastAsia" w:ascii="Times New Roman" w:hAnsi="Times New Roman" w:eastAsia="宋体" w:cs="Times New Roman"/>
          <w:sz w:val="24"/>
          <w:szCs w:val="24"/>
        </w:rPr>
        <w:t>年硕士毕业论文，不同类型多花黄精生物学特性及产量品质比较研究）</w:t>
      </w:r>
      <w:bookmarkEnd w:id="26"/>
      <w:r>
        <w:rPr>
          <w:rFonts w:hint="eastAsia" w:ascii="Times New Roman" w:hAnsi="Times New Roman" w:eastAsia="宋体" w:cs="Times New Roman"/>
          <w:sz w:val="24"/>
          <w:szCs w:val="24"/>
        </w:rPr>
        <w:t>对</w:t>
      </w:r>
      <w:r>
        <w:rPr>
          <w:rFonts w:ascii="Times New Roman" w:hAnsi="Times New Roman" w:eastAsia="宋体" w:cs="Times New Roman"/>
          <w:sz w:val="24"/>
          <w:szCs w:val="24"/>
        </w:rPr>
        <w:t>15</w:t>
      </w:r>
      <w:r>
        <w:rPr>
          <w:rFonts w:hint="eastAsia" w:ascii="Times New Roman" w:hAnsi="Times New Roman" w:eastAsia="宋体" w:cs="Times New Roman"/>
          <w:sz w:val="24"/>
          <w:szCs w:val="24"/>
        </w:rPr>
        <w:t>批次不同来源的黄精的种质的品质进行了测定。</w:t>
      </w:r>
    </w:p>
    <w:p w14:paraId="737E4F11">
      <w:pPr>
        <w:spacing w:line="360" w:lineRule="auto"/>
        <w:ind w:firstLine="480" w:firstLineChars="200"/>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表</w:t>
      </w:r>
      <w:r>
        <w:rPr>
          <w:rFonts w:ascii="Times New Roman" w:hAnsi="Times New Roman" w:eastAsia="宋体" w:cs="Times New Roman"/>
          <w:sz w:val="24"/>
          <w:szCs w:val="21"/>
        </w:rPr>
        <w:t xml:space="preserve">2-1 </w:t>
      </w:r>
      <w:r>
        <w:rPr>
          <w:rFonts w:hint="eastAsia" w:ascii="Times New Roman" w:hAnsi="Times New Roman" w:eastAsia="宋体" w:cs="Times New Roman"/>
          <w:sz w:val="24"/>
          <w:szCs w:val="21"/>
        </w:rPr>
        <w:t>黄精样品信息</w:t>
      </w:r>
    </w:p>
    <w:p w14:paraId="346D57C7">
      <w:pPr>
        <w:spacing w:line="360" w:lineRule="auto"/>
        <w:ind w:firstLine="480" w:firstLineChars="200"/>
        <w:jc w:val="center"/>
        <w:rPr>
          <w:rFonts w:ascii="Times New Roman" w:hAnsi="Times New Roman" w:eastAsia="宋体" w:cs="Times New Roman"/>
          <w:sz w:val="24"/>
          <w:szCs w:val="21"/>
        </w:rPr>
      </w:pPr>
      <w:r>
        <w:rPr>
          <w:rFonts w:ascii="Times New Roman" w:hAnsi="Times New Roman" w:eastAsia="宋体" w:cs="Times New Roman"/>
          <w:sz w:val="24"/>
          <w:szCs w:val="21"/>
        </w:rPr>
        <w:t xml:space="preserve">Table 2-1 </w:t>
      </w:r>
      <w:r>
        <w:rPr>
          <w:rFonts w:ascii="Times New Roman" w:hAnsi="Times New Roman" w:eastAsia="宋体" w:cs="Times New Roman"/>
          <w:i/>
          <w:sz w:val="24"/>
          <w:szCs w:val="21"/>
        </w:rPr>
        <w:t>P. cyrtnma</w:t>
      </w:r>
      <w:r>
        <w:rPr>
          <w:rFonts w:ascii="Times New Roman" w:hAnsi="Times New Roman" w:eastAsia="宋体" w:cs="Times New Roman"/>
          <w:sz w:val="24"/>
          <w:szCs w:val="21"/>
        </w:rPr>
        <w:t xml:space="preserve"> sample information</w:t>
      </w:r>
    </w:p>
    <w:tbl>
      <w:tblPr>
        <w:tblStyle w:val="27"/>
        <w:tblW w:w="5000" w:type="pct"/>
        <w:jc w:val="center"/>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81"/>
        <w:gridCol w:w="3961"/>
        <w:gridCol w:w="1628"/>
        <w:gridCol w:w="1952"/>
      </w:tblGrid>
      <w:tr w14:paraId="7E0A1952">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75" w:type="pct"/>
            <w:tcBorders>
              <w:top w:val="single" w:color="auto" w:sz="8" w:space="0"/>
              <w:bottom w:val="single" w:color="auto" w:sz="4" w:space="0"/>
            </w:tcBorders>
            <w:vAlign w:val="center"/>
          </w:tcPr>
          <w:p w14:paraId="5CBAAE47">
            <w:pPr>
              <w:pStyle w:val="44"/>
              <w:spacing w:line="360" w:lineRule="auto"/>
              <w:ind w:firstLine="0" w:firstLineChars="0"/>
              <w:jc w:val="center"/>
              <w:rPr>
                <w:rFonts w:ascii="Times New Roman" w:hAnsi="Times New Roman" w:eastAsia="宋体" w:cs="Times New Roman"/>
                <w:szCs w:val="18"/>
              </w:rPr>
            </w:pPr>
            <w:r>
              <w:rPr>
                <w:rFonts w:hint="eastAsia" w:ascii="Times New Roman" w:hAnsi="Times New Roman" w:eastAsia="宋体" w:cs="Times New Roman"/>
                <w:szCs w:val="18"/>
              </w:rPr>
              <w:t>序号</w:t>
            </w:r>
          </w:p>
        </w:tc>
        <w:tc>
          <w:tcPr>
            <w:tcW w:w="2324" w:type="pct"/>
            <w:tcBorders>
              <w:top w:val="single" w:color="auto" w:sz="8" w:space="0"/>
              <w:bottom w:val="single" w:color="auto" w:sz="4" w:space="0"/>
            </w:tcBorders>
            <w:vAlign w:val="center"/>
          </w:tcPr>
          <w:p w14:paraId="15C5B525">
            <w:pPr>
              <w:pStyle w:val="44"/>
              <w:spacing w:line="360" w:lineRule="auto"/>
              <w:ind w:firstLine="0" w:firstLineChars="0"/>
              <w:jc w:val="center"/>
              <w:rPr>
                <w:rFonts w:ascii="Times New Roman" w:hAnsi="Times New Roman" w:eastAsia="宋体" w:cs="Times New Roman"/>
                <w:szCs w:val="18"/>
              </w:rPr>
            </w:pPr>
            <w:r>
              <w:rPr>
                <w:rFonts w:hint="eastAsia" w:ascii="Times New Roman" w:hAnsi="Times New Roman" w:eastAsia="宋体" w:cs="Times New Roman"/>
                <w:szCs w:val="18"/>
              </w:rPr>
              <w:t>物种</w:t>
            </w:r>
          </w:p>
        </w:tc>
        <w:tc>
          <w:tcPr>
            <w:tcW w:w="955" w:type="pct"/>
            <w:tcBorders>
              <w:top w:val="single" w:color="auto" w:sz="8" w:space="0"/>
              <w:bottom w:val="single" w:color="auto" w:sz="4" w:space="0"/>
            </w:tcBorders>
            <w:vAlign w:val="center"/>
          </w:tcPr>
          <w:p w14:paraId="4279DFE2">
            <w:pPr>
              <w:pStyle w:val="44"/>
              <w:spacing w:line="360" w:lineRule="auto"/>
              <w:ind w:firstLine="0" w:firstLineChars="0"/>
              <w:jc w:val="center"/>
              <w:rPr>
                <w:rFonts w:ascii="Times New Roman" w:hAnsi="Times New Roman" w:eastAsia="宋体" w:cs="Times New Roman"/>
                <w:szCs w:val="18"/>
              </w:rPr>
            </w:pPr>
            <w:r>
              <w:rPr>
                <w:rFonts w:hint="eastAsia" w:ascii="Times New Roman" w:hAnsi="Times New Roman" w:eastAsia="宋体" w:cs="Times New Roman"/>
                <w:szCs w:val="18"/>
              </w:rPr>
              <w:t>样品编号</w:t>
            </w:r>
          </w:p>
        </w:tc>
        <w:tc>
          <w:tcPr>
            <w:tcW w:w="1145" w:type="pct"/>
            <w:tcBorders>
              <w:top w:val="single" w:color="auto" w:sz="8" w:space="0"/>
              <w:bottom w:val="single" w:color="auto" w:sz="4" w:space="0"/>
            </w:tcBorders>
            <w:vAlign w:val="center"/>
          </w:tcPr>
          <w:p w14:paraId="43703D4F">
            <w:pPr>
              <w:pStyle w:val="44"/>
              <w:spacing w:line="360" w:lineRule="auto"/>
              <w:ind w:firstLine="0" w:firstLineChars="0"/>
              <w:jc w:val="center"/>
              <w:rPr>
                <w:rFonts w:ascii="Times New Roman" w:hAnsi="Times New Roman" w:eastAsia="宋体" w:cs="Times New Roman"/>
                <w:szCs w:val="18"/>
              </w:rPr>
            </w:pPr>
            <w:r>
              <w:rPr>
                <w:rFonts w:hint="eastAsia" w:ascii="Times New Roman" w:hAnsi="Times New Roman" w:eastAsia="宋体" w:cs="Times New Roman"/>
                <w:szCs w:val="18"/>
              </w:rPr>
              <w:t>种源地</w:t>
            </w:r>
          </w:p>
        </w:tc>
      </w:tr>
      <w:tr w14:paraId="1E7616B1">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75" w:type="pct"/>
            <w:tcBorders>
              <w:top w:val="single" w:color="auto" w:sz="4" w:space="0"/>
            </w:tcBorders>
            <w:vAlign w:val="center"/>
          </w:tcPr>
          <w:p w14:paraId="1672F159">
            <w:pPr>
              <w:pStyle w:val="44"/>
              <w:spacing w:line="360" w:lineRule="auto"/>
              <w:ind w:firstLine="0" w:firstLineChars="0"/>
              <w:jc w:val="center"/>
              <w:rPr>
                <w:rFonts w:ascii="Times New Roman" w:hAnsi="Times New Roman" w:eastAsia="宋体" w:cs="Times New Roman"/>
                <w:szCs w:val="18"/>
              </w:rPr>
            </w:pPr>
            <w:r>
              <w:rPr>
                <w:rFonts w:ascii="Times New Roman" w:hAnsi="Times New Roman" w:eastAsia="宋体" w:cs="Times New Roman"/>
                <w:szCs w:val="18"/>
              </w:rPr>
              <w:t>1</w:t>
            </w:r>
          </w:p>
        </w:tc>
        <w:tc>
          <w:tcPr>
            <w:tcW w:w="2324" w:type="pct"/>
            <w:tcBorders>
              <w:top w:val="single" w:color="auto" w:sz="4" w:space="0"/>
            </w:tcBorders>
            <w:vAlign w:val="center"/>
          </w:tcPr>
          <w:p w14:paraId="2FF1ACC9">
            <w:pPr>
              <w:pStyle w:val="44"/>
              <w:spacing w:line="360" w:lineRule="auto"/>
              <w:ind w:firstLine="0" w:firstLineChars="0"/>
              <w:jc w:val="center"/>
              <w:rPr>
                <w:rFonts w:ascii="Times New Roman" w:hAnsi="Times New Roman" w:eastAsia="宋体" w:cs="Times New Roman"/>
                <w:szCs w:val="18"/>
              </w:rPr>
            </w:pPr>
            <w:r>
              <w:rPr>
                <w:rFonts w:ascii="Times New Roman" w:hAnsi="Times New Roman" w:eastAsia="宋体" w:cs="Times New Roman"/>
                <w:i/>
                <w:szCs w:val="18"/>
              </w:rPr>
              <w:t>Polygonatum cyrtonema</w:t>
            </w:r>
          </w:p>
        </w:tc>
        <w:tc>
          <w:tcPr>
            <w:tcW w:w="955" w:type="pct"/>
            <w:tcBorders>
              <w:top w:val="single" w:color="auto" w:sz="4" w:space="0"/>
            </w:tcBorders>
            <w:vAlign w:val="center"/>
          </w:tcPr>
          <w:p w14:paraId="4E255947">
            <w:pPr>
              <w:spacing w:line="360" w:lineRule="auto"/>
              <w:jc w:val="center"/>
              <w:rPr>
                <w:rFonts w:ascii="Times New Roman" w:hAnsi="Times New Roman" w:eastAsia="宋体" w:cs="Times New Roman"/>
                <w:color w:val="000000"/>
                <w:szCs w:val="18"/>
              </w:rPr>
            </w:pPr>
            <w:r>
              <w:rPr>
                <w:rFonts w:ascii="Times New Roman" w:hAnsi="Times New Roman" w:eastAsia="宋体" w:cs="Times New Roman"/>
                <w:color w:val="000000"/>
                <w:szCs w:val="18"/>
              </w:rPr>
              <w:t>K</w:t>
            </w:r>
          </w:p>
        </w:tc>
        <w:tc>
          <w:tcPr>
            <w:tcW w:w="1145" w:type="pct"/>
            <w:tcBorders>
              <w:top w:val="single" w:color="auto" w:sz="4" w:space="0"/>
            </w:tcBorders>
            <w:vAlign w:val="center"/>
          </w:tcPr>
          <w:p w14:paraId="4AF42905">
            <w:pPr>
              <w:pStyle w:val="44"/>
              <w:spacing w:line="360" w:lineRule="auto"/>
              <w:ind w:firstLine="0" w:firstLineChars="0"/>
              <w:jc w:val="center"/>
              <w:rPr>
                <w:rFonts w:ascii="Times New Roman" w:hAnsi="Times New Roman" w:eastAsia="宋体" w:cs="Times New Roman"/>
                <w:szCs w:val="18"/>
              </w:rPr>
            </w:pPr>
            <w:r>
              <w:rPr>
                <w:rFonts w:hint="eastAsia" w:ascii="Times New Roman" w:hAnsi="Times New Roman" w:eastAsia="宋体" w:cs="Times New Roman"/>
                <w:szCs w:val="18"/>
              </w:rPr>
              <w:t>江西安福</w:t>
            </w:r>
          </w:p>
        </w:tc>
      </w:tr>
      <w:tr w14:paraId="1D7F5C1C">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75" w:type="pct"/>
            <w:vAlign w:val="center"/>
          </w:tcPr>
          <w:p w14:paraId="0C121001">
            <w:pPr>
              <w:pStyle w:val="44"/>
              <w:spacing w:line="360" w:lineRule="auto"/>
              <w:ind w:firstLine="0" w:firstLineChars="0"/>
              <w:jc w:val="center"/>
              <w:rPr>
                <w:rFonts w:ascii="Times New Roman" w:hAnsi="Times New Roman" w:eastAsia="宋体" w:cs="Times New Roman"/>
                <w:szCs w:val="18"/>
              </w:rPr>
            </w:pPr>
            <w:r>
              <w:rPr>
                <w:rFonts w:ascii="Times New Roman" w:hAnsi="Times New Roman" w:eastAsia="宋体" w:cs="Times New Roman"/>
                <w:szCs w:val="18"/>
              </w:rPr>
              <w:t>2</w:t>
            </w:r>
          </w:p>
        </w:tc>
        <w:tc>
          <w:tcPr>
            <w:tcW w:w="2324" w:type="pct"/>
            <w:vAlign w:val="center"/>
          </w:tcPr>
          <w:p w14:paraId="38301B2B">
            <w:pPr>
              <w:pStyle w:val="44"/>
              <w:spacing w:line="360" w:lineRule="auto"/>
              <w:ind w:firstLine="0" w:firstLineChars="0"/>
              <w:jc w:val="center"/>
              <w:rPr>
                <w:rFonts w:ascii="Times New Roman" w:hAnsi="Times New Roman" w:eastAsia="宋体" w:cs="Times New Roman"/>
                <w:szCs w:val="18"/>
              </w:rPr>
            </w:pPr>
            <w:r>
              <w:rPr>
                <w:rFonts w:ascii="Times New Roman" w:hAnsi="Times New Roman" w:eastAsia="宋体" w:cs="Times New Roman"/>
                <w:i/>
                <w:szCs w:val="18"/>
              </w:rPr>
              <w:t>Polygonatum cyrtonema</w:t>
            </w:r>
          </w:p>
        </w:tc>
        <w:tc>
          <w:tcPr>
            <w:tcW w:w="955" w:type="pct"/>
            <w:vAlign w:val="center"/>
          </w:tcPr>
          <w:p w14:paraId="708F6FFD">
            <w:pPr>
              <w:pStyle w:val="44"/>
              <w:spacing w:line="360" w:lineRule="auto"/>
              <w:ind w:firstLine="0" w:firstLineChars="0"/>
              <w:jc w:val="center"/>
              <w:rPr>
                <w:rFonts w:ascii="Times New Roman" w:hAnsi="Times New Roman" w:eastAsia="宋体" w:cs="Times New Roman"/>
                <w:szCs w:val="18"/>
              </w:rPr>
            </w:pPr>
            <w:r>
              <w:rPr>
                <w:rFonts w:ascii="Times New Roman" w:hAnsi="Times New Roman" w:eastAsia="宋体" w:cs="Times New Roman"/>
                <w:szCs w:val="18"/>
              </w:rPr>
              <w:t>Z</w:t>
            </w:r>
          </w:p>
        </w:tc>
        <w:tc>
          <w:tcPr>
            <w:tcW w:w="1145" w:type="pct"/>
            <w:vAlign w:val="center"/>
          </w:tcPr>
          <w:p w14:paraId="60EAFA26">
            <w:pPr>
              <w:pStyle w:val="44"/>
              <w:spacing w:line="360" w:lineRule="auto"/>
              <w:ind w:firstLine="0" w:firstLineChars="0"/>
              <w:jc w:val="center"/>
              <w:rPr>
                <w:rFonts w:ascii="Times New Roman" w:hAnsi="Times New Roman" w:eastAsia="宋体" w:cs="Times New Roman"/>
                <w:szCs w:val="18"/>
              </w:rPr>
            </w:pPr>
            <w:r>
              <w:rPr>
                <w:rFonts w:hint="eastAsia" w:ascii="Times New Roman" w:hAnsi="Times New Roman" w:eastAsia="宋体" w:cs="Times New Roman"/>
                <w:szCs w:val="18"/>
              </w:rPr>
              <w:t>江西安福</w:t>
            </w:r>
          </w:p>
        </w:tc>
      </w:tr>
      <w:tr w14:paraId="73E911F6">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75" w:type="pct"/>
            <w:vAlign w:val="center"/>
          </w:tcPr>
          <w:p w14:paraId="5FD43F27">
            <w:pPr>
              <w:pStyle w:val="44"/>
              <w:spacing w:line="360" w:lineRule="auto"/>
              <w:ind w:firstLine="0" w:firstLineChars="0"/>
              <w:jc w:val="center"/>
              <w:rPr>
                <w:rFonts w:ascii="Times New Roman" w:hAnsi="Times New Roman" w:eastAsia="宋体" w:cs="Times New Roman"/>
                <w:szCs w:val="18"/>
              </w:rPr>
            </w:pPr>
            <w:r>
              <w:rPr>
                <w:rFonts w:ascii="Times New Roman" w:hAnsi="Times New Roman" w:eastAsia="宋体" w:cs="Times New Roman"/>
                <w:szCs w:val="18"/>
              </w:rPr>
              <w:t>3</w:t>
            </w:r>
          </w:p>
        </w:tc>
        <w:tc>
          <w:tcPr>
            <w:tcW w:w="2324" w:type="pct"/>
            <w:vAlign w:val="center"/>
          </w:tcPr>
          <w:p w14:paraId="3729BD70">
            <w:pPr>
              <w:pStyle w:val="44"/>
              <w:spacing w:line="360" w:lineRule="auto"/>
              <w:ind w:firstLine="0" w:firstLineChars="0"/>
              <w:jc w:val="center"/>
              <w:rPr>
                <w:rFonts w:ascii="Times New Roman" w:hAnsi="Times New Roman" w:eastAsia="宋体" w:cs="Times New Roman"/>
                <w:szCs w:val="18"/>
              </w:rPr>
            </w:pPr>
            <w:r>
              <w:rPr>
                <w:rFonts w:ascii="Times New Roman" w:hAnsi="Times New Roman" w:eastAsia="宋体" w:cs="Times New Roman"/>
                <w:i/>
                <w:szCs w:val="18"/>
              </w:rPr>
              <w:t>Polygonatum cyrtonema</w:t>
            </w:r>
          </w:p>
        </w:tc>
        <w:tc>
          <w:tcPr>
            <w:tcW w:w="955" w:type="pct"/>
            <w:vAlign w:val="center"/>
          </w:tcPr>
          <w:p w14:paraId="2AB6C66D">
            <w:pPr>
              <w:pStyle w:val="44"/>
              <w:spacing w:line="360" w:lineRule="auto"/>
              <w:ind w:firstLine="0" w:firstLineChars="0"/>
              <w:jc w:val="center"/>
              <w:rPr>
                <w:rFonts w:ascii="Times New Roman" w:hAnsi="Times New Roman" w:eastAsia="宋体" w:cs="Times New Roman"/>
                <w:szCs w:val="18"/>
              </w:rPr>
            </w:pPr>
            <w:r>
              <w:rPr>
                <w:rFonts w:ascii="Times New Roman" w:hAnsi="Times New Roman" w:eastAsia="宋体" w:cs="Times New Roman"/>
                <w:szCs w:val="18"/>
              </w:rPr>
              <w:t>A</w:t>
            </w:r>
          </w:p>
        </w:tc>
        <w:tc>
          <w:tcPr>
            <w:tcW w:w="1145" w:type="pct"/>
            <w:vAlign w:val="center"/>
          </w:tcPr>
          <w:p w14:paraId="78D8A3A6">
            <w:pPr>
              <w:pStyle w:val="44"/>
              <w:spacing w:line="360" w:lineRule="auto"/>
              <w:ind w:firstLine="0" w:firstLineChars="0"/>
              <w:jc w:val="center"/>
              <w:rPr>
                <w:rFonts w:ascii="Times New Roman" w:hAnsi="Times New Roman" w:eastAsia="宋体" w:cs="Times New Roman"/>
                <w:szCs w:val="18"/>
              </w:rPr>
            </w:pPr>
            <w:r>
              <w:rPr>
                <w:rFonts w:hint="eastAsia" w:ascii="Times New Roman" w:hAnsi="Times New Roman" w:eastAsia="宋体" w:cs="Times New Roman"/>
                <w:szCs w:val="18"/>
              </w:rPr>
              <w:t>安徽九华山</w:t>
            </w:r>
          </w:p>
        </w:tc>
      </w:tr>
      <w:tr w14:paraId="7A727A39">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75" w:type="pct"/>
            <w:vAlign w:val="center"/>
          </w:tcPr>
          <w:p w14:paraId="50854A6E">
            <w:pPr>
              <w:pStyle w:val="44"/>
              <w:spacing w:line="360" w:lineRule="auto"/>
              <w:ind w:firstLine="0" w:firstLineChars="0"/>
              <w:jc w:val="center"/>
              <w:rPr>
                <w:rFonts w:ascii="Times New Roman" w:hAnsi="Times New Roman" w:eastAsia="宋体" w:cs="Times New Roman"/>
                <w:szCs w:val="18"/>
              </w:rPr>
            </w:pPr>
            <w:r>
              <w:rPr>
                <w:rFonts w:ascii="Times New Roman" w:hAnsi="Times New Roman" w:eastAsia="宋体" w:cs="Times New Roman"/>
                <w:szCs w:val="18"/>
              </w:rPr>
              <w:t>4</w:t>
            </w:r>
          </w:p>
        </w:tc>
        <w:tc>
          <w:tcPr>
            <w:tcW w:w="2324" w:type="pct"/>
            <w:vAlign w:val="center"/>
          </w:tcPr>
          <w:p w14:paraId="2BF965AD">
            <w:pPr>
              <w:pStyle w:val="44"/>
              <w:spacing w:line="360" w:lineRule="auto"/>
              <w:ind w:firstLine="0" w:firstLineChars="0"/>
              <w:jc w:val="center"/>
              <w:rPr>
                <w:rFonts w:ascii="Times New Roman" w:hAnsi="Times New Roman" w:eastAsia="宋体" w:cs="Times New Roman"/>
                <w:szCs w:val="18"/>
              </w:rPr>
            </w:pPr>
            <w:r>
              <w:rPr>
                <w:rFonts w:ascii="Times New Roman" w:hAnsi="Times New Roman" w:eastAsia="宋体" w:cs="Times New Roman"/>
                <w:i/>
                <w:szCs w:val="18"/>
              </w:rPr>
              <w:t>Polygonatum cyrtonema</w:t>
            </w:r>
          </w:p>
        </w:tc>
        <w:tc>
          <w:tcPr>
            <w:tcW w:w="955" w:type="pct"/>
            <w:vAlign w:val="center"/>
          </w:tcPr>
          <w:p w14:paraId="1D68AC28">
            <w:pPr>
              <w:pStyle w:val="44"/>
              <w:spacing w:line="360" w:lineRule="auto"/>
              <w:ind w:firstLine="0" w:firstLineChars="0"/>
              <w:jc w:val="center"/>
              <w:rPr>
                <w:rFonts w:ascii="Times New Roman" w:hAnsi="Times New Roman" w:eastAsia="宋体" w:cs="Times New Roman"/>
                <w:szCs w:val="18"/>
              </w:rPr>
            </w:pPr>
            <w:r>
              <w:rPr>
                <w:rFonts w:ascii="Times New Roman" w:hAnsi="Times New Roman" w:eastAsia="宋体" w:cs="Times New Roman"/>
                <w:szCs w:val="18"/>
              </w:rPr>
              <w:t>H</w:t>
            </w:r>
          </w:p>
        </w:tc>
        <w:tc>
          <w:tcPr>
            <w:tcW w:w="1145" w:type="pct"/>
            <w:vAlign w:val="center"/>
          </w:tcPr>
          <w:p w14:paraId="5629BE7C">
            <w:pPr>
              <w:pStyle w:val="44"/>
              <w:spacing w:line="360" w:lineRule="auto"/>
              <w:ind w:firstLine="0" w:firstLineChars="0"/>
              <w:jc w:val="center"/>
              <w:rPr>
                <w:rFonts w:ascii="Times New Roman" w:hAnsi="Times New Roman" w:eastAsia="宋体" w:cs="Times New Roman"/>
                <w:szCs w:val="18"/>
              </w:rPr>
            </w:pPr>
            <w:r>
              <w:rPr>
                <w:rFonts w:hint="eastAsia" w:ascii="Times New Roman" w:hAnsi="Times New Roman" w:eastAsia="宋体" w:cs="Times New Roman"/>
                <w:szCs w:val="18"/>
              </w:rPr>
              <w:t>湖南怀化</w:t>
            </w:r>
          </w:p>
        </w:tc>
      </w:tr>
      <w:tr w14:paraId="419F2417">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75" w:type="pct"/>
            <w:vAlign w:val="center"/>
          </w:tcPr>
          <w:p w14:paraId="784EAC23">
            <w:pPr>
              <w:pStyle w:val="44"/>
              <w:spacing w:line="360" w:lineRule="auto"/>
              <w:ind w:firstLine="0" w:firstLineChars="0"/>
              <w:jc w:val="center"/>
              <w:rPr>
                <w:rFonts w:ascii="Times New Roman" w:hAnsi="Times New Roman" w:eastAsia="宋体" w:cs="Times New Roman"/>
                <w:szCs w:val="18"/>
              </w:rPr>
            </w:pPr>
            <w:r>
              <w:rPr>
                <w:rFonts w:ascii="Times New Roman" w:hAnsi="Times New Roman" w:eastAsia="宋体" w:cs="Times New Roman"/>
                <w:szCs w:val="18"/>
              </w:rPr>
              <w:t>5</w:t>
            </w:r>
          </w:p>
        </w:tc>
        <w:tc>
          <w:tcPr>
            <w:tcW w:w="2324" w:type="pct"/>
            <w:vAlign w:val="center"/>
          </w:tcPr>
          <w:p w14:paraId="12EB3CAA">
            <w:pPr>
              <w:pStyle w:val="44"/>
              <w:spacing w:line="360" w:lineRule="auto"/>
              <w:ind w:firstLine="0" w:firstLineChars="0"/>
              <w:jc w:val="center"/>
              <w:rPr>
                <w:rFonts w:ascii="Times New Roman" w:hAnsi="Times New Roman" w:eastAsia="宋体" w:cs="Times New Roman"/>
                <w:szCs w:val="18"/>
              </w:rPr>
            </w:pPr>
            <w:r>
              <w:rPr>
                <w:rFonts w:ascii="Times New Roman" w:hAnsi="Times New Roman" w:eastAsia="宋体" w:cs="Times New Roman"/>
                <w:i/>
                <w:szCs w:val="18"/>
              </w:rPr>
              <w:t>Polygonatum cyrtonema</w:t>
            </w:r>
          </w:p>
        </w:tc>
        <w:tc>
          <w:tcPr>
            <w:tcW w:w="955" w:type="pct"/>
            <w:vAlign w:val="center"/>
          </w:tcPr>
          <w:p w14:paraId="7BB7ADD8">
            <w:pPr>
              <w:pStyle w:val="44"/>
              <w:spacing w:line="360" w:lineRule="auto"/>
              <w:ind w:firstLine="0" w:firstLineChars="0"/>
              <w:jc w:val="center"/>
              <w:rPr>
                <w:rFonts w:ascii="Times New Roman" w:hAnsi="Times New Roman" w:eastAsia="宋体" w:cs="Times New Roman"/>
                <w:szCs w:val="18"/>
              </w:rPr>
            </w:pPr>
            <w:r>
              <w:rPr>
                <w:rFonts w:ascii="Times New Roman" w:hAnsi="Times New Roman" w:eastAsia="宋体" w:cs="Times New Roman"/>
                <w:szCs w:val="18"/>
              </w:rPr>
              <w:t>ZG</w:t>
            </w:r>
          </w:p>
        </w:tc>
        <w:tc>
          <w:tcPr>
            <w:tcW w:w="1145" w:type="pct"/>
            <w:vAlign w:val="center"/>
          </w:tcPr>
          <w:p w14:paraId="2668871F">
            <w:pPr>
              <w:pStyle w:val="44"/>
              <w:spacing w:line="360" w:lineRule="auto"/>
              <w:ind w:firstLine="0" w:firstLineChars="0"/>
              <w:jc w:val="center"/>
              <w:rPr>
                <w:rFonts w:ascii="Times New Roman" w:hAnsi="Times New Roman" w:eastAsia="宋体" w:cs="Times New Roman"/>
                <w:szCs w:val="18"/>
              </w:rPr>
            </w:pPr>
            <w:r>
              <w:rPr>
                <w:rFonts w:hint="eastAsia" w:ascii="Times New Roman" w:hAnsi="Times New Roman" w:eastAsia="宋体" w:cs="Times New Roman"/>
                <w:szCs w:val="18"/>
              </w:rPr>
              <w:t>江西安福</w:t>
            </w:r>
          </w:p>
        </w:tc>
      </w:tr>
      <w:tr w14:paraId="7C26AB98">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75" w:type="pct"/>
            <w:vAlign w:val="center"/>
          </w:tcPr>
          <w:p w14:paraId="365C06EE">
            <w:pPr>
              <w:pStyle w:val="44"/>
              <w:spacing w:line="360" w:lineRule="auto"/>
              <w:ind w:firstLine="0" w:firstLineChars="0"/>
              <w:jc w:val="center"/>
              <w:rPr>
                <w:rFonts w:ascii="Times New Roman" w:hAnsi="Times New Roman" w:eastAsia="宋体" w:cs="Times New Roman"/>
                <w:szCs w:val="18"/>
              </w:rPr>
            </w:pPr>
            <w:r>
              <w:rPr>
                <w:rFonts w:ascii="Times New Roman" w:hAnsi="Times New Roman" w:eastAsia="宋体" w:cs="Times New Roman"/>
                <w:szCs w:val="18"/>
              </w:rPr>
              <w:t>6</w:t>
            </w:r>
          </w:p>
        </w:tc>
        <w:tc>
          <w:tcPr>
            <w:tcW w:w="2324" w:type="pct"/>
            <w:vAlign w:val="center"/>
          </w:tcPr>
          <w:p w14:paraId="14DD2F15">
            <w:pPr>
              <w:pStyle w:val="44"/>
              <w:spacing w:line="360" w:lineRule="auto"/>
              <w:ind w:firstLine="0" w:firstLineChars="0"/>
              <w:jc w:val="center"/>
              <w:rPr>
                <w:rFonts w:ascii="Times New Roman" w:hAnsi="Times New Roman" w:eastAsia="宋体" w:cs="Times New Roman"/>
                <w:szCs w:val="18"/>
              </w:rPr>
            </w:pPr>
            <w:r>
              <w:rPr>
                <w:rFonts w:ascii="Times New Roman" w:hAnsi="Times New Roman" w:eastAsia="宋体" w:cs="Times New Roman"/>
                <w:i/>
                <w:szCs w:val="18"/>
              </w:rPr>
              <w:t>Polygonatum cyrtonema</w:t>
            </w:r>
          </w:p>
        </w:tc>
        <w:tc>
          <w:tcPr>
            <w:tcW w:w="955" w:type="pct"/>
            <w:vAlign w:val="center"/>
          </w:tcPr>
          <w:p w14:paraId="0D3CAEBC">
            <w:pPr>
              <w:pStyle w:val="44"/>
              <w:spacing w:line="360" w:lineRule="auto"/>
              <w:ind w:firstLine="0" w:firstLineChars="0"/>
              <w:jc w:val="center"/>
              <w:rPr>
                <w:rFonts w:ascii="Times New Roman" w:hAnsi="Times New Roman" w:eastAsia="宋体" w:cs="Times New Roman"/>
                <w:szCs w:val="18"/>
              </w:rPr>
            </w:pPr>
            <w:r>
              <w:rPr>
                <w:rFonts w:ascii="Times New Roman" w:hAnsi="Times New Roman" w:eastAsia="宋体" w:cs="Times New Roman"/>
                <w:szCs w:val="18"/>
              </w:rPr>
              <w:t>JD</w:t>
            </w:r>
          </w:p>
        </w:tc>
        <w:tc>
          <w:tcPr>
            <w:tcW w:w="1145" w:type="pct"/>
            <w:vAlign w:val="center"/>
          </w:tcPr>
          <w:p w14:paraId="7A7D34C3">
            <w:pPr>
              <w:pStyle w:val="44"/>
              <w:spacing w:line="360" w:lineRule="auto"/>
              <w:ind w:firstLine="0" w:firstLineChars="0"/>
              <w:jc w:val="center"/>
              <w:rPr>
                <w:rFonts w:ascii="Times New Roman" w:hAnsi="Times New Roman" w:eastAsia="宋体" w:cs="Times New Roman"/>
                <w:szCs w:val="18"/>
              </w:rPr>
            </w:pPr>
            <w:r>
              <w:rPr>
                <w:rFonts w:hint="eastAsia" w:ascii="Times New Roman" w:hAnsi="Times New Roman" w:eastAsia="宋体" w:cs="Times New Roman"/>
                <w:szCs w:val="18"/>
              </w:rPr>
              <w:t>安徽旌德</w:t>
            </w:r>
          </w:p>
        </w:tc>
      </w:tr>
      <w:tr w14:paraId="6A5120A9">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jc w:val="center"/>
        </w:trPr>
        <w:tc>
          <w:tcPr>
            <w:tcW w:w="575" w:type="pct"/>
            <w:vAlign w:val="center"/>
          </w:tcPr>
          <w:p w14:paraId="27AFF3CB">
            <w:pPr>
              <w:pStyle w:val="44"/>
              <w:spacing w:line="360" w:lineRule="auto"/>
              <w:ind w:firstLine="0" w:firstLineChars="0"/>
              <w:jc w:val="center"/>
              <w:rPr>
                <w:rFonts w:ascii="Times New Roman" w:hAnsi="Times New Roman" w:eastAsia="宋体" w:cs="Times New Roman"/>
                <w:szCs w:val="18"/>
              </w:rPr>
            </w:pPr>
            <w:r>
              <w:rPr>
                <w:rFonts w:ascii="Times New Roman" w:hAnsi="Times New Roman" w:eastAsia="宋体" w:cs="Times New Roman"/>
                <w:szCs w:val="18"/>
              </w:rPr>
              <w:t>7</w:t>
            </w:r>
          </w:p>
        </w:tc>
        <w:tc>
          <w:tcPr>
            <w:tcW w:w="2324" w:type="pct"/>
            <w:vAlign w:val="center"/>
          </w:tcPr>
          <w:p w14:paraId="1AE10826">
            <w:pPr>
              <w:pStyle w:val="44"/>
              <w:spacing w:line="360" w:lineRule="auto"/>
              <w:ind w:firstLine="0" w:firstLineChars="0"/>
              <w:jc w:val="center"/>
              <w:rPr>
                <w:rFonts w:ascii="Times New Roman" w:hAnsi="Times New Roman" w:eastAsia="宋体" w:cs="Times New Roman"/>
                <w:color w:val="000000"/>
                <w:szCs w:val="18"/>
              </w:rPr>
            </w:pPr>
            <w:r>
              <w:rPr>
                <w:rFonts w:ascii="Times New Roman" w:hAnsi="Times New Roman" w:eastAsia="宋体" w:cs="Times New Roman"/>
                <w:i/>
                <w:szCs w:val="18"/>
              </w:rPr>
              <w:t>Polygonatum cyrtonema</w:t>
            </w:r>
          </w:p>
        </w:tc>
        <w:tc>
          <w:tcPr>
            <w:tcW w:w="955" w:type="pct"/>
            <w:vAlign w:val="center"/>
          </w:tcPr>
          <w:p w14:paraId="30357E5C">
            <w:pPr>
              <w:pStyle w:val="44"/>
              <w:spacing w:line="360" w:lineRule="auto"/>
              <w:ind w:firstLine="0" w:firstLineChars="0"/>
              <w:jc w:val="center"/>
              <w:rPr>
                <w:rFonts w:ascii="Times New Roman" w:hAnsi="Times New Roman" w:eastAsia="宋体" w:cs="Times New Roman"/>
                <w:szCs w:val="18"/>
              </w:rPr>
            </w:pPr>
            <w:r>
              <w:rPr>
                <w:rFonts w:ascii="Times New Roman" w:hAnsi="Times New Roman" w:eastAsia="宋体" w:cs="Times New Roman"/>
                <w:szCs w:val="18"/>
              </w:rPr>
              <w:t>QY</w:t>
            </w:r>
          </w:p>
        </w:tc>
        <w:tc>
          <w:tcPr>
            <w:tcW w:w="1145" w:type="pct"/>
            <w:vAlign w:val="center"/>
          </w:tcPr>
          <w:p w14:paraId="13A7653F">
            <w:pPr>
              <w:pStyle w:val="44"/>
              <w:spacing w:line="360" w:lineRule="auto"/>
              <w:ind w:firstLine="0" w:firstLineChars="0"/>
              <w:jc w:val="center"/>
              <w:rPr>
                <w:rFonts w:ascii="Times New Roman" w:hAnsi="Times New Roman" w:eastAsia="宋体" w:cs="Times New Roman"/>
                <w:szCs w:val="18"/>
              </w:rPr>
            </w:pPr>
            <w:r>
              <w:rPr>
                <w:rFonts w:hint="eastAsia" w:ascii="Times New Roman" w:hAnsi="Times New Roman" w:eastAsia="宋体" w:cs="Times New Roman"/>
                <w:szCs w:val="18"/>
              </w:rPr>
              <w:t>安徽青阳</w:t>
            </w:r>
          </w:p>
        </w:tc>
      </w:tr>
      <w:tr w14:paraId="6779A2CE">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75" w:type="pct"/>
            <w:vAlign w:val="center"/>
          </w:tcPr>
          <w:p w14:paraId="2174388E">
            <w:pPr>
              <w:pStyle w:val="44"/>
              <w:spacing w:line="360" w:lineRule="auto"/>
              <w:ind w:firstLine="0" w:firstLineChars="0"/>
              <w:jc w:val="center"/>
              <w:rPr>
                <w:rFonts w:ascii="Times New Roman" w:hAnsi="Times New Roman" w:eastAsia="宋体" w:cs="Times New Roman"/>
                <w:szCs w:val="18"/>
              </w:rPr>
            </w:pPr>
            <w:r>
              <w:rPr>
                <w:rFonts w:ascii="Times New Roman" w:hAnsi="Times New Roman" w:eastAsia="宋体" w:cs="Times New Roman"/>
                <w:szCs w:val="18"/>
              </w:rPr>
              <w:t>8</w:t>
            </w:r>
          </w:p>
        </w:tc>
        <w:tc>
          <w:tcPr>
            <w:tcW w:w="2324" w:type="pct"/>
            <w:vAlign w:val="center"/>
          </w:tcPr>
          <w:p w14:paraId="0AB49E12">
            <w:pPr>
              <w:pStyle w:val="44"/>
              <w:spacing w:line="360" w:lineRule="auto"/>
              <w:ind w:firstLine="0" w:firstLineChars="0"/>
              <w:jc w:val="center"/>
              <w:rPr>
                <w:rFonts w:ascii="Times New Roman" w:hAnsi="Times New Roman" w:eastAsia="宋体" w:cs="Times New Roman"/>
                <w:color w:val="000000"/>
                <w:szCs w:val="18"/>
              </w:rPr>
            </w:pPr>
            <w:r>
              <w:rPr>
                <w:rFonts w:ascii="Times New Roman" w:hAnsi="Times New Roman" w:eastAsia="宋体" w:cs="Times New Roman"/>
                <w:i/>
                <w:szCs w:val="18"/>
              </w:rPr>
              <w:t>Polygonatum cyrtonema</w:t>
            </w:r>
          </w:p>
        </w:tc>
        <w:tc>
          <w:tcPr>
            <w:tcW w:w="955" w:type="pct"/>
            <w:vAlign w:val="center"/>
          </w:tcPr>
          <w:p w14:paraId="63A10ACC">
            <w:pPr>
              <w:pStyle w:val="44"/>
              <w:spacing w:line="360" w:lineRule="auto"/>
              <w:ind w:firstLine="0" w:firstLineChars="0"/>
              <w:jc w:val="center"/>
              <w:rPr>
                <w:rFonts w:ascii="Times New Roman" w:hAnsi="Times New Roman" w:eastAsia="宋体" w:cs="Times New Roman"/>
                <w:szCs w:val="18"/>
              </w:rPr>
            </w:pPr>
            <w:r>
              <w:rPr>
                <w:rFonts w:ascii="Times New Roman" w:hAnsi="Times New Roman" w:eastAsia="宋体" w:cs="Times New Roman"/>
                <w:szCs w:val="18"/>
              </w:rPr>
              <w:t>GZ</w:t>
            </w:r>
          </w:p>
        </w:tc>
        <w:tc>
          <w:tcPr>
            <w:tcW w:w="1145" w:type="pct"/>
            <w:vAlign w:val="center"/>
          </w:tcPr>
          <w:p w14:paraId="049DC04D">
            <w:pPr>
              <w:pStyle w:val="44"/>
              <w:spacing w:line="360" w:lineRule="auto"/>
              <w:ind w:firstLine="0" w:firstLineChars="0"/>
              <w:jc w:val="center"/>
              <w:rPr>
                <w:rFonts w:ascii="Times New Roman" w:hAnsi="Times New Roman" w:eastAsia="宋体" w:cs="Times New Roman"/>
                <w:szCs w:val="18"/>
              </w:rPr>
            </w:pPr>
            <w:r>
              <w:rPr>
                <w:rFonts w:hint="eastAsia" w:ascii="Times New Roman" w:hAnsi="Times New Roman" w:eastAsia="宋体" w:cs="Times New Roman"/>
                <w:szCs w:val="18"/>
              </w:rPr>
              <w:t>贵州盘州</w:t>
            </w:r>
          </w:p>
        </w:tc>
      </w:tr>
      <w:tr w14:paraId="0B49225A">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75" w:type="pct"/>
            <w:vAlign w:val="center"/>
          </w:tcPr>
          <w:p w14:paraId="6DCEEA0D">
            <w:pPr>
              <w:pStyle w:val="44"/>
              <w:spacing w:line="360" w:lineRule="auto"/>
              <w:ind w:firstLine="0" w:firstLineChars="0"/>
              <w:jc w:val="center"/>
              <w:rPr>
                <w:rFonts w:ascii="Times New Roman" w:hAnsi="Times New Roman" w:eastAsia="宋体" w:cs="Times New Roman"/>
                <w:szCs w:val="18"/>
              </w:rPr>
            </w:pPr>
            <w:r>
              <w:rPr>
                <w:rFonts w:ascii="Times New Roman" w:hAnsi="Times New Roman" w:eastAsia="宋体" w:cs="Times New Roman"/>
                <w:szCs w:val="18"/>
              </w:rPr>
              <w:t>9</w:t>
            </w:r>
          </w:p>
        </w:tc>
        <w:tc>
          <w:tcPr>
            <w:tcW w:w="2324" w:type="pct"/>
            <w:vAlign w:val="center"/>
          </w:tcPr>
          <w:p w14:paraId="28FE93E9">
            <w:pPr>
              <w:pStyle w:val="44"/>
              <w:spacing w:line="360" w:lineRule="auto"/>
              <w:ind w:firstLine="0" w:firstLineChars="0"/>
              <w:jc w:val="center"/>
              <w:rPr>
                <w:rFonts w:ascii="Times New Roman" w:hAnsi="Times New Roman" w:eastAsia="宋体" w:cs="Times New Roman"/>
                <w:color w:val="000000"/>
                <w:szCs w:val="18"/>
              </w:rPr>
            </w:pPr>
            <w:r>
              <w:rPr>
                <w:rFonts w:ascii="Times New Roman" w:hAnsi="Times New Roman" w:eastAsia="宋体" w:cs="Times New Roman"/>
                <w:i/>
                <w:szCs w:val="18"/>
              </w:rPr>
              <w:t>Polygonatum cyrtonema</w:t>
            </w:r>
          </w:p>
        </w:tc>
        <w:tc>
          <w:tcPr>
            <w:tcW w:w="955" w:type="pct"/>
            <w:vAlign w:val="center"/>
          </w:tcPr>
          <w:p w14:paraId="6D27B400">
            <w:pPr>
              <w:pStyle w:val="44"/>
              <w:spacing w:line="360" w:lineRule="auto"/>
              <w:ind w:firstLine="0" w:firstLineChars="0"/>
              <w:jc w:val="center"/>
              <w:rPr>
                <w:rFonts w:ascii="Times New Roman" w:hAnsi="Times New Roman" w:eastAsia="宋体" w:cs="Times New Roman"/>
                <w:szCs w:val="18"/>
              </w:rPr>
            </w:pPr>
            <w:r>
              <w:rPr>
                <w:rFonts w:ascii="Times New Roman" w:hAnsi="Times New Roman" w:eastAsia="宋体" w:cs="Times New Roman"/>
                <w:szCs w:val="18"/>
              </w:rPr>
              <w:t>HG</w:t>
            </w:r>
          </w:p>
        </w:tc>
        <w:tc>
          <w:tcPr>
            <w:tcW w:w="1145" w:type="pct"/>
            <w:vAlign w:val="center"/>
          </w:tcPr>
          <w:p w14:paraId="7E947F82">
            <w:pPr>
              <w:pStyle w:val="44"/>
              <w:spacing w:line="360" w:lineRule="auto"/>
              <w:ind w:firstLine="0" w:firstLineChars="0"/>
              <w:jc w:val="center"/>
              <w:rPr>
                <w:rFonts w:ascii="Times New Roman" w:hAnsi="Times New Roman" w:eastAsia="宋体" w:cs="Times New Roman"/>
                <w:szCs w:val="18"/>
              </w:rPr>
            </w:pPr>
            <w:r>
              <w:rPr>
                <w:rFonts w:hint="eastAsia" w:ascii="Times New Roman" w:hAnsi="Times New Roman" w:eastAsia="宋体" w:cs="Times New Roman"/>
                <w:szCs w:val="18"/>
              </w:rPr>
              <w:t>湖北黄冈</w:t>
            </w:r>
          </w:p>
        </w:tc>
      </w:tr>
      <w:tr w14:paraId="3203C84B">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75" w:type="pct"/>
            <w:vAlign w:val="center"/>
          </w:tcPr>
          <w:p w14:paraId="40A91B96">
            <w:pPr>
              <w:pStyle w:val="44"/>
              <w:spacing w:line="360" w:lineRule="auto"/>
              <w:ind w:firstLine="0" w:firstLineChars="0"/>
              <w:jc w:val="center"/>
              <w:rPr>
                <w:rFonts w:ascii="Times New Roman" w:hAnsi="Times New Roman" w:eastAsia="宋体" w:cs="Times New Roman"/>
                <w:szCs w:val="18"/>
              </w:rPr>
            </w:pPr>
            <w:r>
              <w:rPr>
                <w:rFonts w:ascii="Times New Roman" w:hAnsi="Times New Roman" w:eastAsia="宋体" w:cs="Times New Roman"/>
                <w:szCs w:val="18"/>
              </w:rPr>
              <w:t>10</w:t>
            </w:r>
          </w:p>
        </w:tc>
        <w:tc>
          <w:tcPr>
            <w:tcW w:w="2324" w:type="pct"/>
            <w:vAlign w:val="center"/>
          </w:tcPr>
          <w:p w14:paraId="21836405">
            <w:pPr>
              <w:pStyle w:val="44"/>
              <w:spacing w:line="360" w:lineRule="auto"/>
              <w:ind w:firstLine="0" w:firstLineChars="0"/>
              <w:jc w:val="center"/>
              <w:rPr>
                <w:rFonts w:ascii="Times New Roman" w:hAnsi="Times New Roman" w:eastAsia="宋体" w:cs="Times New Roman"/>
                <w:color w:val="000000"/>
                <w:szCs w:val="18"/>
              </w:rPr>
            </w:pPr>
            <w:r>
              <w:rPr>
                <w:rFonts w:ascii="Times New Roman" w:hAnsi="Times New Roman" w:eastAsia="宋体" w:cs="Times New Roman"/>
                <w:i/>
                <w:szCs w:val="18"/>
              </w:rPr>
              <w:t>Polygonatum cyrtonema</w:t>
            </w:r>
          </w:p>
        </w:tc>
        <w:tc>
          <w:tcPr>
            <w:tcW w:w="955" w:type="pct"/>
            <w:vAlign w:val="center"/>
          </w:tcPr>
          <w:p w14:paraId="1227BB0A">
            <w:pPr>
              <w:pStyle w:val="44"/>
              <w:spacing w:line="360" w:lineRule="auto"/>
              <w:ind w:firstLine="0" w:firstLineChars="0"/>
              <w:jc w:val="center"/>
              <w:rPr>
                <w:rFonts w:ascii="Times New Roman" w:hAnsi="Times New Roman" w:eastAsia="宋体" w:cs="Times New Roman"/>
                <w:szCs w:val="18"/>
              </w:rPr>
            </w:pPr>
            <w:r>
              <w:rPr>
                <w:rFonts w:ascii="Times New Roman" w:hAnsi="Times New Roman" w:eastAsia="宋体" w:cs="Times New Roman"/>
                <w:szCs w:val="18"/>
              </w:rPr>
              <w:t>SY</w:t>
            </w:r>
          </w:p>
        </w:tc>
        <w:tc>
          <w:tcPr>
            <w:tcW w:w="1145" w:type="pct"/>
            <w:vAlign w:val="center"/>
          </w:tcPr>
          <w:p w14:paraId="09567AFD">
            <w:pPr>
              <w:pStyle w:val="44"/>
              <w:spacing w:line="360" w:lineRule="auto"/>
              <w:ind w:firstLine="0" w:firstLineChars="0"/>
              <w:jc w:val="center"/>
              <w:rPr>
                <w:rFonts w:ascii="Times New Roman" w:hAnsi="Times New Roman" w:eastAsia="宋体" w:cs="Times New Roman"/>
                <w:szCs w:val="18"/>
              </w:rPr>
            </w:pPr>
            <w:r>
              <w:rPr>
                <w:rFonts w:hint="eastAsia" w:ascii="Times New Roman" w:hAnsi="Times New Roman" w:eastAsia="宋体" w:cs="Times New Roman"/>
                <w:szCs w:val="18"/>
              </w:rPr>
              <w:t>湖北十堰</w:t>
            </w:r>
          </w:p>
        </w:tc>
      </w:tr>
      <w:tr w14:paraId="4D9E9F0E">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75" w:type="pct"/>
            <w:vAlign w:val="center"/>
          </w:tcPr>
          <w:p w14:paraId="2418B51E">
            <w:pPr>
              <w:pStyle w:val="44"/>
              <w:spacing w:line="360" w:lineRule="auto"/>
              <w:ind w:firstLine="0" w:firstLineChars="0"/>
              <w:jc w:val="center"/>
              <w:rPr>
                <w:rFonts w:ascii="Times New Roman" w:hAnsi="Times New Roman" w:eastAsia="宋体" w:cs="Times New Roman"/>
                <w:szCs w:val="18"/>
              </w:rPr>
            </w:pPr>
            <w:r>
              <w:rPr>
                <w:rFonts w:ascii="Times New Roman" w:hAnsi="Times New Roman" w:eastAsia="宋体" w:cs="Times New Roman"/>
                <w:szCs w:val="18"/>
              </w:rPr>
              <w:t>11</w:t>
            </w:r>
          </w:p>
        </w:tc>
        <w:tc>
          <w:tcPr>
            <w:tcW w:w="2324" w:type="pct"/>
            <w:vAlign w:val="center"/>
          </w:tcPr>
          <w:p w14:paraId="5A3FAD78">
            <w:pPr>
              <w:pStyle w:val="44"/>
              <w:spacing w:line="360" w:lineRule="auto"/>
              <w:ind w:firstLine="0" w:firstLineChars="0"/>
              <w:jc w:val="center"/>
              <w:rPr>
                <w:rFonts w:ascii="Times New Roman" w:hAnsi="Times New Roman" w:eastAsia="宋体" w:cs="Times New Roman"/>
                <w:color w:val="000000"/>
                <w:szCs w:val="18"/>
              </w:rPr>
            </w:pPr>
            <w:r>
              <w:rPr>
                <w:rFonts w:ascii="Times New Roman" w:hAnsi="Times New Roman" w:eastAsia="宋体" w:cs="Times New Roman"/>
                <w:i/>
                <w:szCs w:val="18"/>
              </w:rPr>
              <w:t>Polygonatum cyrtonema</w:t>
            </w:r>
          </w:p>
        </w:tc>
        <w:tc>
          <w:tcPr>
            <w:tcW w:w="955" w:type="pct"/>
            <w:vAlign w:val="center"/>
          </w:tcPr>
          <w:p w14:paraId="60D6C3D2">
            <w:pPr>
              <w:pStyle w:val="44"/>
              <w:spacing w:line="360" w:lineRule="auto"/>
              <w:ind w:firstLine="0" w:firstLineChars="0"/>
              <w:jc w:val="center"/>
              <w:rPr>
                <w:rFonts w:ascii="Times New Roman" w:hAnsi="Times New Roman" w:eastAsia="宋体" w:cs="Times New Roman"/>
                <w:szCs w:val="18"/>
              </w:rPr>
            </w:pPr>
            <w:r>
              <w:rPr>
                <w:rFonts w:ascii="Times New Roman" w:hAnsi="Times New Roman" w:eastAsia="宋体" w:cs="Times New Roman"/>
                <w:szCs w:val="18"/>
              </w:rPr>
              <w:t>LH</w:t>
            </w:r>
          </w:p>
        </w:tc>
        <w:tc>
          <w:tcPr>
            <w:tcW w:w="1145" w:type="pct"/>
            <w:vAlign w:val="center"/>
          </w:tcPr>
          <w:p w14:paraId="688528F6">
            <w:pPr>
              <w:pStyle w:val="44"/>
              <w:spacing w:line="360" w:lineRule="auto"/>
              <w:ind w:firstLine="0" w:firstLineChars="0"/>
              <w:jc w:val="center"/>
              <w:rPr>
                <w:rFonts w:ascii="Times New Roman" w:hAnsi="Times New Roman" w:eastAsia="宋体" w:cs="Times New Roman"/>
                <w:szCs w:val="18"/>
              </w:rPr>
            </w:pPr>
            <w:r>
              <w:rPr>
                <w:rFonts w:hint="eastAsia" w:ascii="Times New Roman" w:hAnsi="Times New Roman" w:eastAsia="宋体" w:cs="Times New Roman"/>
                <w:szCs w:val="18"/>
              </w:rPr>
              <w:t>江西莲花</w:t>
            </w:r>
          </w:p>
        </w:tc>
      </w:tr>
      <w:tr w14:paraId="719990DF">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75" w:type="pct"/>
            <w:vAlign w:val="center"/>
          </w:tcPr>
          <w:p w14:paraId="4F38385A">
            <w:pPr>
              <w:pStyle w:val="44"/>
              <w:spacing w:line="360" w:lineRule="auto"/>
              <w:ind w:firstLine="0" w:firstLineChars="0"/>
              <w:jc w:val="center"/>
              <w:rPr>
                <w:rFonts w:ascii="Times New Roman" w:hAnsi="Times New Roman" w:eastAsia="宋体" w:cs="Times New Roman"/>
                <w:szCs w:val="18"/>
              </w:rPr>
            </w:pPr>
            <w:r>
              <w:rPr>
                <w:rFonts w:ascii="Times New Roman" w:hAnsi="Times New Roman" w:eastAsia="宋体" w:cs="Times New Roman"/>
                <w:szCs w:val="18"/>
              </w:rPr>
              <w:t>12</w:t>
            </w:r>
          </w:p>
        </w:tc>
        <w:tc>
          <w:tcPr>
            <w:tcW w:w="2324" w:type="pct"/>
            <w:vAlign w:val="center"/>
          </w:tcPr>
          <w:p w14:paraId="482CA22F">
            <w:pPr>
              <w:pStyle w:val="44"/>
              <w:spacing w:line="360" w:lineRule="auto"/>
              <w:ind w:firstLine="0" w:firstLineChars="0"/>
              <w:jc w:val="center"/>
              <w:rPr>
                <w:rFonts w:ascii="Times New Roman" w:hAnsi="Times New Roman" w:eastAsia="宋体" w:cs="Times New Roman"/>
                <w:szCs w:val="18"/>
              </w:rPr>
            </w:pPr>
            <w:r>
              <w:rPr>
                <w:rFonts w:ascii="Times New Roman" w:hAnsi="Times New Roman" w:eastAsia="宋体" w:cs="Times New Roman"/>
                <w:i/>
                <w:iCs/>
                <w:szCs w:val="18"/>
              </w:rPr>
              <w:t>Polygonatum filipes</w:t>
            </w:r>
          </w:p>
        </w:tc>
        <w:tc>
          <w:tcPr>
            <w:tcW w:w="955" w:type="pct"/>
            <w:vAlign w:val="center"/>
          </w:tcPr>
          <w:p w14:paraId="76415FA7">
            <w:pPr>
              <w:pStyle w:val="44"/>
              <w:spacing w:line="360" w:lineRule="auto"/>
              <w:ind w:firstLine="0" w:firstLineChars="0"/>
              <w:jc w:val="center"/>
              <w:rPr>
                <w:rFonts w:ascii="Times New Roman" w:hAnsi="Times New Roman" w:eastAsia="宋体" w:cs="Times New Roman"/>
                <w:szCs w:val="18"/>
              </w:rPr>
            </w:pPr>
            <w:r>
              <w:rPr>
                <w:rFonts w:ascii="Times New Roman" w:hAnsi="Times New Roman" w:eastAsia="宋体" w:cs="Times New Roman"/>
                <w:szCs w:val="18"/>
              </w:rPr>
              <w:t>CG</w:t>
            </w:r>
          </w:p>
        </w:tc>
        <w:tc>
          <w:tcPr>
            <w:tcW w:w="1145" w:type="pct"/>
            <w:vAlign w:val="center"/>
          </w:tcPr>
          <w:p w14:paraId="6E08CE4F">
            <w:pPr>
              <w:pStyle w:val="44"/>
              <w:spacing w:line="360" w:lineRule="auto"/>
              <w:ind w:firstLine="0" w:firstLineChars="0"/>
              <w:jc w:val="center"/>
              <w:rPr>
                <w:rFonts w:ascii="Times New Roman" w:hAnsi="Times New Roman" w:eastAsia="宋体" w:cs="Times New Roman"/>
                <w:szCs w:val="18"/>
              </w:rPr>
            </w:pPr>
            <w:r>
              <w:rPr>
                <w:rFonts w:hint="eastAsia" w:ascii="Times New Roman" w:hAnsi="Times New Roman" w:eastAsia="宋体" w:cs="Times New Roman"/>
                <w:szCs w:val="18"/>
              </w:rPr>
              <w:t>江西铜鼓</w:t>
            </w:r>
          </w:p>
        </w:tc>
      </w:tr>
      <w:tr w14:paraId="493B919A">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75" w:type="pct"/>
            <w:vAlign w:val="center"/>
          </w:tcPr>
          <w:p w14:paraId="274F12BE">
            <w:pPr>
              <w:pStyle w:val="44"/>
              <w:spacing w:line="360" w:lineRule="auto"/>
              <w:ind w:firstLine="0" w:firstLineChars="0"/>
              <w:jc w:val="center"/>
              <w:rPr>
                <w:rFonts w:ascii="Times New Roman" w:hAnsi="Times New Roman" w:eastAsia="宋体" w:cs="Times New Roman"/>
                <w:szCs w:val="18"/>
              </w:rPr>
            </w:pPr>
            <w:r>
              <w:rPr>
                <w:rFonts w:ascii="Times New Roman" w:hAnsi="Times New Roman" w:eastAsia="宋体" w:cs="Times New Roman"/>
                <w:szCs w:val="18"/>
              </w:rPr>
              <w:t>13</w:t>
            </w:r>
          </w:p>
        </w:tc>
        <w:tc>
          <w:tcPr>
            <w:tcW w:w="2324" w:type="pct"/>
            <w:vAlign w:val="center"/>
          </w:tcPr>
          <w:p w14:paraId="4717AAAA">
            <w:pPr>
              <w:pStyle w:val="44"/>
              <w:spacing w:line="360" w:lineRule="auto"/>
              <w:ind w:firstLine="0" w:firstLineChars="0"/>
              <w:jc w:val="center"/>
              <w:rPr>
                <w:rFonts w:ascii="Times New Roman" w:hAnsi="Times New Roman" w:eastAsia="宋体" w:cs="Times New Roman"/>
                <w:szCs w:val="18"/>
              </w:rPr>
            </w:pPr>
            <w:r>
              <w:rPr>
                <w:rFonts w:ascii="Times New Roman" w:hAnsi="Times New Roman" w:eastAsia="宋体" w:cs="Times New Roman"/>
                <w:i/>
                <w:iCs/>
                <w:szCs w:val="18"/>
              </w:rPr>
              <w:t>Polygonatum kingianum</w:t>
            </w:r>
          </w:p>
        </w:tc>
        <w:tc>
          <w:tcPr>
            <w:tcW w:w="955" w:type="pct"/>
            <w:vAlign w:val="center"/>
          </w:tcPr>
          <w:p w14:paraId="5D878A0B">
            <w:pPr>
              <w:pStyle w:val="44"/>
              <w:spacing w:line="360" w:lineRule="auto"/>
              <w:ind w:firstLine="0" w:firstLineChars="0"/>
              <w:jc w:val="center"/>
              <w:rPr>
                <w:rFonts w:ascii="Times New Roman" w:hAnsi="Times New Roman" w:eastAsia="宋体" w:cs="Times New Roman"/>
                <w:szCs w:val="18"/>
              </w:rPr>
            </w:pPr>
            <w:r>
              <w:rPr>
                <w:rFonts w:ascii="Times New Roman" w:hAnsi="Times New Roman" w:eastAsia="宋体" w:cs="Times New Roman"/>
                <w:szCs w:val="18"/>
              </w:rPr>
              <w:t>D</w:t>
            </w:r>
          </w:p>
        </w:tc>
        <w:tc>
          <w:tcPr>
            <w:tcW w:w="1145" w:type="pct"/>
            <w:vAlign w:val="center"/>
          </w:tcPr>
          <w:p w14:paraId="4F412221">
            <w:pPr>
              <w:pStyle w:val="44"/>
              <w:spacing w:line="360" w:lineRule="auto"/>
              <w:ind w:firstLine="0" w:firstLineChars="0"/>
              <w:jc w:val="center"/>
              <w:rPr>
                <w:rFonts w:ascii="Times New Roman" w:hAnsi="Times New Roman" w:eastAsia="宋体" w:cs="Times New Roman"/>
                <w:szCs w:val="18"/>
              </w:rPr>
            </w:pPr>
            <w:r>
              <w:rPr>
                <w:rFonts w:hint="eastAsia" w:ascii="Times New Roman" w:hAnsi="Times New Roman" w:eastAsia="宋体" w:cs="Times New Roman"/>
                <w:szCs w:val="18"/>
              </w:rPr>
              <w:t>四川武胜</w:t>
            </w:r>
          </w:p>
        </w:tc>
      </w:tr>
      <w:tr w14:paraId="3237B54A">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75" w:type="pct"/>
            <w:vAlign w:val="center"/>
          </w:tcPr>
          <w:p w14:paraId="37DCB6E9">
            <w:pPr>
              <w:pStyle w:val="44"/>
              <w:spacing w:line="360" w:lineRule="auto"/>
              <w:ind w:firstLine="0" w:firstLineChars="0"/>
              <w:jc w:val="center"/>
              <w:rPr>
                <w:rFonts w:ascii="Times New Roman" w:hAnsi="Times New Roman" w:eastAsia="宋体" w:cs="Times New Roman"/>
                <w:szCs w:val="18"/>
              </w:rPr>
            </w:pPr>
            <w:r>
              <w:rPr>
                <w:rFonts w:ascii="Times New Roman" w:hAnsi="Times New Roman" w:eastAsia="宋体" w:cs="Times New Roman"/>
                <w:szCs w:val="18"/>
              </w:rPr>
              <w:t>14</w:t>
            </w:r>
          </w:p>
        </w:tc>
        <w:tc>
          <w:tcPr>
            <w:tcW w:w="2324" w:type="pct"/>
            <w:vAlign w:val="center"/>
          </w:tcPr>
          <w:p w14:paraId="640151B3">
            <w:pPr>
              <w:pStyle w:val="44"/>
              <w:spacing w:line="360" w:lineRule="auto"/>
              <w:ind w:firstLine="0" w:firstLineChars="0"/>
              <w:jc w:val="center"/>
              <w:rPr>
                <w:rFonts w:ascii="Times New Roman" w:hAnsi="Times New Roman" w:eastAsia="宋体" w:cs="Times New Roman"/>
                <w:szCs w:val="18"/>
              </w:rPr>
            </w:pPr>
            <w:r>
              <w:rPr>
                <w:rFonts w:ascii="Times New Roman" w:hAnsi="Times New Roman" w:eastAsia="宋体" w:cs="Times New Roman"/>
                <w:i/>
                <w:iCs/>
                <w:szCs w:val="18"/>
              </w:rPr>
              <w:t>Polygonatum kingianum</w:t>
            </w:r>
          </w:p>
        </w:tc>
        <w:tc>
          <w:tcPr>
            <w:tcW w:w="955" w:type="pct"/>
            <w:vAlign w:val="center"/>
          </w:tcPr>
          <w:p w14:paraId="23061945">
            <w:pPr>
              <w:pStyle w:val="44"/>
              <w:spacing w:line="360" w:lineRule="auto"/>
              <w:ind w:firstLine="0" w:firstLineChars="0"/>
              <w:jc w:val="center"/>
              <w:rPr>
                <w:rFonts w:ascii="Times New Roman" w:hAnsi="Times New Roman" w:eastAsia="宋体" w:cs="Times New Roman"/>
                <w:szCs w:val="18"/>
              </w:rPr>
            </w:pPr>
            <w:r>
              <w:rPr>
                <w:rFonts w:ascii="Times New Roman" w:hAnsi="Times New Roman" w:eastAsia="宋体" w:cs="Times New Roman"/>
                <w:szCs w:val="18"/>
              </w:rPr>
              <w:t>SC</w:t>
            </w:r>
          </w:p>
        </w:tc>
        <w:tc>
          <w:tcPr>
            <w:tcW w:w="1145" w:type="pct"/>
            <w:vAlign w:val="center"/>
          </w:tcPr>
          <w:p w14:paraId="336573CB">
            <w:pPr>
              <w:pStyle w:val="44"/>
              <w:spacing w:line="360" w:lineRule="auto"/>
              <w:ind w:firstLine="0" w:firstLineChars="0"/>
              <w:jc w:val="center"/>
              <w:rPr>
                <w:rFonts w:ascii="Times New Roman" w:hAnsi="Times New Roman" w:eastAsia="宋体" w:cs="Times New Roman"/>
                <w:szCs w:val="18"/>
              </w:rPr>
            </w:pPr>
            <w:r>
              <w:rPr>
                <w:rFonts w:hint="eastAsia" w:ascii="Times New Roman" w:hAnsi="Times New Roman" w:eastAsia="宋体" w:cs="Times New Roman"/>
                <w:szCs w:val="18"/>
              </w:rPr>
              <w:t>四川武胜</w:t>
            </w:r>
          </w:p>
        </w:tc>
      </w:tr>
      <w:tr w14:paraId="47FFAD8E">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75" w:type="pct"/>
            <w:tcBorders>
              <w:bottom w:val="single" w:color="auto" w:sz="8" w:space="0"/>
            </w:tcBorders>
            <w:vAlign w:val="center"/>
          </w:tcPr>
          <w:p w14:paraId="4977F4C3">
            <w:pPr>
              <w:pStyle w:val="44"/>
              <w:spacing w:line="360" w:lineRule="auto"/>
              <w:ind w:firstLine="0" w:firstLineChars="0"/>
              <w:jc w:val="center"/>
              <w:rPr>
                <w:rFonts w:ascii="Times New Roman" w:hAnsi="Times New Roman" w:eastAsia="宋体" w:cs="Times New Roman"/>
                <w:szCs w:val="18"/>
              </w:rPr>
            </w:pPr>
            <w:r>
              <w:rPr>
                <w:rFonts w:ascii="Times New Roman" w:hAnsi="Times New Roman" w:eastAsia="宋体" w:cs="Times New Roman"/>
                <w:szCs w:val="18"/>
              </w:rPr>
              <w:t>15</w:t>
            </w:r>
          </w:p>
        </w:tc>
        <w:tc>
          <w:tcPr>
            <w:tcW w:w="2324" w:type="pct"/>
            <w:tcBorders>
              <w:bottom w:val="single" w:color="auto" w:sz="8" w:space="0"/>
            </w:tcBorders>
            <w:vAlign w:val="center"/>
          </w:tcPr>
          <w:p w14:paraId="667885AA">
            <w:pPr>
              <w:pStyle w:val="44"/>
              <w:spacing w:line="360" w:lineRule="auto"/>
              <w:ind w:firstLine="0" w:firstLineChars="0"/>
              <w:jc w:val="center"/>
              <w:rPr>
                <w:rFonts w:ascii="Times New Roman" w:hAnsi="Times New Roman" w:eastAsia="宋体" w:cs="Times New Roman"/>
                <w:szCs w:val="18"/>
              </w:rPr>
            </w:pPr>
            <w:r>
              <w:rPr>
                <w:rFonts w:ascii="Times New Roman" w:hAnsi="Times New Roman" w:eastAsia="宋体" w:cs="Times New Roman"/>
                <w:i/>
                <w:szCs w:val="18"/>
              </w:rPr>
              <w:t>Polygonatum cyrtonema</w:t>
            </w:r>
          </w:p>
        </w:tc>
        <w:tc>
          <w:tcPr>
            <w:tcW w:w="955" w:type="pct"/>
            <w:tcBorders>
              <w:bottom w:val="single" w:color="auto" w:sz="8" w:space="0"/>
            </w:tcBorders>
            <w:vAlign w:val="center"/>
          </w:tcPr>
          <w:p w14:paraId="05A23473">
            <w:pPr>
              <w:pStyle w:val="44"/>
              <w:spacing w:line="360" w:lineRule="auto"/>
              <w:ind w:firstLine="0" w:firstLineChars="0"/>
              <w:jc w:val="center"/>
              <w:rPr>
                <w:rFonts w:ascii="Times New Roman" w:hAnsi="Times New Roman" w:eastAsia="宋体" w:cs="Times New Roman"/>
                <w:szCs w:val="18"/>
              </w:rPr>
            </w:pPr>
            <w:r>
              <w:rPr>
                <w:rFonts w:ascii="Times New Roman" w:hAnsi="Times New Roman" w:eastAsia="宋体" w:cs="Times New Roman"/>
                <w:szCs w:val="18"/>
              </w:rPr>
              <w:t>YS</w:t>
            </w:r>
          </w:p>
        </w:tc>
        <w:tc>
          <w:tcPr>
            <w:tcW w:w="1145" w:type="pct"/>
            <w:tcBorders>
              <w:bottom w:val="single" w:color="auto" w:sz="8" w:space="0"/>
            </w:tcBorders>
            <w:vAlign w:val="center"/>
          </w:tcPr>
          <w:p w14:paraId="77E95152">
            <w:pPr>
              <w:pStyle w:val="44"/>
              <w:spacing w:line="360" w:lineRule="auto"/>
              <w:ind w:firstLine="0" w:firstLineChars="0"/>
              <w:jc w:val="center"/>
              <w:rPr>
                <w:rFonts w:ascii="Times New Roman" w:hAnsi="Times New Roman" w:eastAsia="宋体" w:cs="Times New Roman"/>
                <w:szCs w:val="18"/>
              </w:rPr>
            </w:pPr>
            <w:r>
              <w:rPr>
                <w:rFonts w:hint="eastAsia" w:ascii="Times New Roman" w:hAnsi="Times New Roman" w:eastAsia="宋体" w:cs="Times New Roman"/>
                <w:szCs w:val="18"/>
              </w:rPr>
              <w:t>江西安福</w:t>
            </w:r>
          </w:p>
        </w:tc>
      </w:tr>
    </w:tbl>
    <w:p w14:paraId="79980270">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表明：不同类型多花黄精的化学成分含量差异较大，且均达到显著或极显著差异，表明多花黄精具有丰富的优良品种选择优势。从表如表</w:t>
      </w:r>
      <w:r>
        <w:rPr>
          <w:rFonts w:ascii="Times New Roman" w:hAnsi="Times New Roman" w:eastAsia="宋体" w:cs="Times New Roman"/>
          <w:sz w:val="24"/>
          <w:szCs w:val="24"/>
        </w:rPr>
        <w:t>3-6</w:t>
      </w:r>
      <w:r>
        <w:rPr>
          <w:rFonts w:hint="eastAsia" w:ascii="Times New Roman" w:hAnsi="Times New Roman" w:eastAsia="宋体" w:cs="Times New Roman"/>
          <w:sz w:val="24"/>
          <w:szCs w:val="24"/>
        </w:rPr>
        <w:t>所示，九华山多花黄精浸出物含量最高，为</w:t>
      </w:r>
      <w:r>
        <w:rPr>
          <w:rFonts w:ascii="Times New Roman" w:hAnsi="Times New Roman" w:eastAsia="宋体" w:cs="Times New Roman"/>
          <w:sz w:val="24"/>
          <w:szCs w:val="24"/>
        </w:rPr>
        <w:t>77.5 %</w:t>
      </w:r>
      <w:r>
        <w:rPr>
          <w:rFonts w:hint="eastAsia" w:ascii="Times New Roman" w:hAnsi="Times New Roman" w:eastAsia="宋体" w:cs="Times New Roman"/>
          <w:sz w:val="24"/>
          <w:szCs w:val="24"/>
        </w:rPr>
        <w:t>，宽叶多花黄精多糖、总皂苷含量最高，分别为</w:t>
      </w:r>
      <w:r>
        <w:rPr>
          <w:rFonts w:ascii="Times New Roman" w:hAnsi="Times New Roman" w:eastAsia="宋体" w:cs="Times New Roman"/>
          <w:sz w:val="24"/>
          <w:szCs w:val="24"/>
        </w:rPr>
        <w:t>12.29 %</w:t>
      </w:r>
      <w:r>
        <w:rPr>
          <w:rFonts w:hint="eastAsia" w:ascii="Times New Roman" w:hAnsi="Times New Roman" w:eastAsia="宋体" w:cs="Times New Roman"/>
          <w:sz w:val="24"/>
          <w:szCs w:val="24"/>
        </w:rPr>
        <w:t>、</w:t>
      </w:r>
      <w:r>
        <w:rPr>
          <w:rFonts w:ascii="Times New Roman" w:hAnsi="Times New Roman" w:eastAsia="宋体" w:cs="Times New Roman"/>
          <w:sz w:val="24"/>
          <w:szCs w:val="24"/>
        </w:rPr>
        <w:t>12.03 %</w:t>
      </w:r>
      <w:r>
        <w:rPr>
          <w:rFonts w:hint="eastAsia" w:ascii="Times New Roman" w:hAnsi="Times New Roman" w:eastAsia="宋体" w:cs="Times New Roman"/>
          <w:sz w:val="24"/>
          <w:szCs w:val="24"/>
        </w:rPr>
        <w:t>，九华山多花黄精含量最低，为</w:t>
      </w:r>
      <w:r>
        <w:rPr>
          <w:rFonts w:ascii="Times New Roman" w:hAnsi="Times New Roman" w:eastAsia="宋体" w:cs="Times New Roman"/>
          <w:sz w:val="24"/>
          <w:szCs w:val="24"/>
        </w:rPr>
        <w:t>6.30 %</w:t>
      </w:r>
      <w:r>
        <w:rPr>
          <w:rFonts w:hint="eastAsia" w:ascii="Times New Roman" w:hAnsi="Times New Roman" w:eastAsia="宋体" w:cs="Times New Roman"/>
          <w:sz w:val="24"/>
          <w:szCs w:val="24"/>
        </w:rPr>
        <w:t>，约为宽叶多花黄精含量的一半；除九华山多花黄精多糖含量均值低于药典标准外，其余类型黄精多糖含量均高于药典标准。不同类型黄精的浸出物、多糖、总皂苷、总黄酮及总酚等含量间均有显著或极显著差异（</w:t>
      </w:r>
      <w:r>
        <w:rPr>
          <w:rFonts w:ascii="Times New Roman" w:hAnsi="Times New Roman" w:eastAsia="宋体" w:cs="Times New Roman"/>
          <w:sz w:val="24"/>
          <w:szCs w:val="24"/>
        </w:rPr>
        <w:t>p&lt;0.05</w:t>
      </w:r>
      <w:r>
        <w:rPr>
          <w:rFonts w:hint="eastAsia" w:ascii="Times New Roman" w:hAnsi="Times New Roman" w:eastAsia="宋体" w:cs="Times New Roman"/>
          <w:sz w:val="24"/>
          <w:szCs w:val="24"/>
        </w:rPr>
        <w:t>）。因此，可结合形态特征和产量等进行优良多花黄精类型初选。</w:t>
      </w:r>
    </w:p>
    <w:p w14:paraId="34805ECD">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不同类型多花黄精的矿质元素在</w:t>
      </w:r>
      <w:r>
        <w:rPr>
          <w:rFonts w:ascii="Times New Roman" w:hAnsi="Times New Roman" w:eastAsia="宋体" w:cs="Times New Roman"/>
          <w:sz w:val="24"/>
          <w:szCs w:val="24"/>
        </w:rPr>
        <w:t>Fe</w:t>
      </w:r>
      <w:r>
        <w:rPr>
          <w:rFonts w:hint="eastAsia" w:ascii="Times New Roman" w:hAnsi="Times New Roman" w:eastAsia="宋体" w:cs="Times New Roman"/>
          <w:sz w:val="24"/>
          <w:szCs w:val="24"/>
        </w:rPr>
        <w:t>、</w:t>
      </w:r>
      <w:r>
        <w:rPr>
          <w:rFonts w:ascii="Times New Roman" w:hAnsi="Times New Roman" w:eastAsia="宋体" w:cs="Times New Roman"/>
          <w:sz w:val="24"/>
          <w:szCs w:val="24"/>
        </w:rPr>
        <w:t>Zn</w:t>
      </w:r>
      <w:r>
        <w:rPr>
          <w:rFonts w:hint="eastAsia" w:ascii="Times New Roman" w:hAnsi="Times New Roman" w:eastAsia="宋体" w:cs="Times New Roman"/>
          <w:sz w:val="24"/>
          <w:szCs w:val="24"/>
        </w:rPr>
        <w:t>、</w:t>
      </w:r>
      <w:r>
        <w:rPr>
          <w:rFonts w:ascii="Times New Roman" w:hAnsi="Times New Roman" w:eastAsia="宋体" w:cs="Times New Roman"/>
          <w:sz w:val="24"/>
          <w:szCs w:val="24"/>
        </w:rPr>
        <w:t>Mn</w:t>
      </w:r>
      <w:r>
        <w:rPr>
          <w:rFonts w:hint="eastAsia" w:ascii="Times New Roman" w:hAnsi="Times New Roman" w:eastAsia="宋体" w:cs="Times New Roman"/>
          <w:sz w:val="24"/>
          <w:szCs w:val="24"/>
        </w:rPr>
        <w:t>、</w:t>
      </w:r>
      <w:r>
        <w:rPr>
          <w:rFonts w:ascii="Times New Roman" w:hAnsi="Times New Roman" w:eastAsia="宋体" w:cs="Times New Roman"/>
          <w:sz w:val="24"/>
          <w:szCs w:val="24"/>
        </w:rPr>
        <w:t>K</w:t>
      </w:r>
      <w:r>
        <w:rPr>
          <w:rFonts w:hint="eastAsia" w:ascii="Times New Roman" w:hAnsi="Times New Roman" w:eastAsia="宋体" w:cs="Times New Roman"/>
          <w:sz w:val="24"/>
          <w:szCs w:val="24"/>
        </w:rPr>
        <w:t>等含量间存在一定的差异，其中安徽九华山种源多花黄精的</w:t>
      </w:r>
      <w:r>
        <w:rPr>
          <w:rFonts w:ascii="Times New Roman" w:hAnsi="Times New Roman" w:eastAsia="宋体" w:cs="Times New Roman"/>
          <w:sz w:val="24"/>
          <w:szCs w:val="24"/>
        </w:rPr>
        <w:t>Cr</w:t>
      </w:r>
      <w:r>
        <w:rPr>
          <w:rFonts w:hint="eastAsia" w:ascii="Times New Roman" w:hAnsi="Times New Roman" w:eastAsia="宋体" w:cs="Times New Roman"/>
          <w:sz w:val="24"/>
          <w:szCs w:val="24"/>
        </w:rPr>
        <w:t>、</w:t>
      </w:r>
      <w:r>
        <w:rPr>
          <w:rFonts w:ascii="Times New Roman" w:hAnsi="Times New Roman" w:eastAsia="宋体" w:cs="Times New Roman"/>
          <w:sz w:val="24"/>
          <w:szCs w:val="24"/>
        </w:rPr>
        <w:t>Fe</w:t>
      </w:r>
      <w:r>
        <w:rPr>
          <w:rFonts w:hint="eastAsia" w:ascii="Times New Roman" w:hAnsi="Times New Roman" w:eastAsia="宋体" w:cs="Times New Roman"/>
          <w:sz w:val="24"/>
          <w:szCs w:val="24"/>
        </w:rPr>
        <w:t>、</w:t>
      </w:r>
      <w:r>
        <w:rPr>
          <w:rFonts w:ascii="Times New Roman" w:hAnsi="Times New Roman" w:eastAsia="宋体" w:cs="Times New Roman"/>
          <w:sz w:val="24"/>
          <w:szCs w:val="24"/>
        </w:rPr>
        <w:t>K</w:t>
      </w:r>
      <w:r>
        <w:rPr>
          <w:rFonts w:hint="eastAsia" w:ascii="Times New Roman" w:hAnsi="Times New Roman" w:eastAsia="宋体" w:cs="Times New Roman"/>
          <w:sz w:val="24"/>
          <w:szCs w:val="24"/>
        </w:rPr>
        <w:t>含量较高，宽叶多花黄精的</w:t>
      </w:r>
      <w:r>
        <w:rPr>
          <w:rFonts w:ascii="Times New Roman" w:hAnsi="Times New Roman" w:eastAsia="宋体" w:cs="Times New Roman"/>
          <w:sz w:val="24"/>
          <w:szCs w:val="24"/>
        </w:rPr>
        <w:t>Zn</w:t>
      </w:r>
      <w:r>
        <w:rPr>
          <w:rFonts w:hint="eastAsia" w:ascii="Times New Roman" w:hAnsi="Times New Roman" w:eastAsia="宋体" w:cs="Times New Roman"/>
          <w:sz w:val="24"/>
          <w:szCs w:val="24"/>
        </w:rPr>
        <w:t>、</w:t>
      </w:r>
      <w:r>
        <w:rPr>
          <w:rFonts w:ascii="Times New Roman" w:hAnsi="Times New Roman" w:eastAsia="宋体" w:cs="Times New Roman"/>
          <w:sz w:val="24"/>
          <w:szCs w:val="24"/>
        </w:rPr>
        <w:t>Mg</w:t>
      </w:r>
      <w:r>
        <w:rPr>
          <w:rFonts w:hint="eastAsia" w:ascii="Times New Roman" w:hAnsi="Times New Roman" w:eastAsia="宋体" w:cs="Times New Roman"/>
          <w:sz w:val="24"/>
          <w:szCs w:val="24"/>
        </w:rPr>
        <w:t>含量较高，湖南怀化多花黄精的</w:t>
      </w:r>
      <w:r>
        <w:rPr>
          <w:rFonts w:ascii="Times New Roman" w:hAnsi="Times New Roman" w:eastAsia="宋体" w:cs="Times New Roman"/>
          <w:sz w:val="24"/>
          <w:szCs w:val="24"/>
        </w:rPr>
        <w:t>Mn</w:t>
      </w:r>
      <w:r>
        <w:rPr>
          <w:rFonts w:hint="eastAsia" w:ascii="Times New Roman" w:hAnsi="Times New Roman" w:eastAsia="宋体" w:cs="Times New Roman"/>
          <w:sz w:val="24"/>
          <w:szCs w:val="24"/>
        </w:rPr>
        <w:t>、</w:t>
      </w:r>
      <w:r>
        <w:rPr>
          <w:rFonts w:ascii="Times New Roman" w:hAnsi="Times New Roman" w:eastAsia="宋体" w:cs="Times New Roman"/>
          <w:sz w:val="24"/>
          <w:szCs w:val="24"/>
        </w:rPr>
        <w:t>N</w:t>
      </w:r>
      <w:r>
        <w:rPr>
          <w:rFonts w:hint="eastAsia" w:ascii="Times New Roman" w:hAnsi="Times New Roman" w:eastAsia="宋体" w:cs="Times New Roman"/>
          <w:sz w:val="24"/>
          <w:szCs w:val="24"/>
        </w:rPr>
        <w:t>含量较高。宽叶多花黄精中</w:t>
      </w:r>
      <w:r>
        <w:rPr>
          <w:rFonts w:ascii="Times New Roman" w:hAnsi="Times New Roman" w:eastAsia="宋体" w:cs="Times New Roman"/>
          <w:sz w:val="24"/>
          <w:szCs w:val="24"/>
        </w:rPr>
        <w:t>Zn</w:t>
      </w:r>
      <w:r>
        <w:rPr>
          <w:rFonts w:hint="eastAsia" w:ascii="Times New Roman" w:hAnsi="Times New Roman" w:eastAsia="宋体" w:cs="Times New Roman"/>
          <w:sz w:val="24"/>
          <w:szCs w:val="24"/>
        </w:rPr>
        <w:t>的含量显著高于其他类型，湖南怀化多花黄精</w:t>
      </w:r>
      <w:r>
        <w:rPr>
          <w:rFonts w:ascii="Times New Roman" w:hAnsi="Times New Roman" w:eastAsia="宋体" w:cs="Times New Roman"/>
          <w:sz w:val="24"/>
          <w:szCs w:val="24"/>
        </w:rPr>
        <w:t>Mn</w:t>
      </w:r>
      <w:r>
        <w:rPr>
          <w:rFonts w:hint="eastAsia" w:ascii="Times New Roman" w:hAnsi="Times New Roman" w:eastAsia="宋体" w:cs="Times New Roman"/>
          <w:sz w:val="24"/>
          <w:szCs w:val="24"/>
        </w:rPr>
        <w:t>的含量显著高于其他类型。</w:t>
      </w:r>
      <w:r>
        <w:rPr>
          <w:rFonts w:ascii="Times New Roman" w:hAnsi="Times New Roman" w:eastAsia="宋体" w:cs="Times New Roman"/>
          <w:sz w:val="24"/>
          <w:szCs w:val="24"/>
        </w:rPr>
        <w:t>Fe</w:t>
      </w:r>
      <w:r>
        <w:rPr>
          <w:rFonts w:hint="eastAsia" w:ascii="Times New Roman" w:hAnsi="Times New Roman" w:eastAsia="宋体" w:cs="Times New Roman"/>
          <w:sz w:val="24"/>
          <w:szCs w:val="24"/>
        </w:rPr>
        <w:t>元素含量最高的是九华山多花黄精，达</w:t>
      </w:r>
      <w:r>
        <w:rPr>
          <w:rFonts w:ascii="Times New Roman" w:hAnsi="Times New Roman" w:eastAsia="宋体" w:cs="Times New Roman"/>
          <w:sz w:val="24"/>
          <w:szCs w:val="24"/>
        </w:rPr>
        <w:t>566.88 μg/ml</w:t>
      </w:r>
      <w:r>
        <w:rPr>
          <w:rFonts w:hint="eastAsia" w:ascii="Times New Roman" w:hAnsi="Times New Roman" w:eastAsia="宋体" w:cs="Times New Roman"/>
          <w:sz w:val="24"/>
          <w:szCs w:val="24"/>
        </w:rPr>
        <w:t>，是怀化多花黄精含量的</w:t>
      </w:r>
      <w:r>
        <w:rPr>
          <w:rFonts w:ascii="Times New Roman" w:hAnsi="Times New Roman" w:eastAsia="宋体" w:cs="Times New Roman"/>
          <w:sz w:val="24"/>
          <w:szCs w:val="24"/>
        </w:rPr>
        <w:t>3.6</w:t>
      </w:r>
      <w:r>
        <w:rPr>
          <w:rFonts w:hint="eastAsia" w:ascii="Times New Roman" w:hAnsi="Times New Roman" w:eastAsia="宋体" w:cs="Times New Roman"/>
          <w:sz w:val="24"/>
          <w:szCs w:val="24"/>
        </w:rPr>
        <w:t>倍，宽叶多花黄精</w:t>
      </w:r>
      <w:r>
        <w:rPr>
          <w:rFonts w:ascii="Times New Roman" w:hAnsi="Times New Roman" w:eastAsia="宋体" w:cs="Times New Roman"/>
          <w:sz w:val="24"/>
          <w:szCs w:val="24"/>
        </w:rPr>
        <w:t>Zn</w:t>
      </w:r>
      <w:r>
        <w:rPr>
          <w:rFonts w:hint="eastAsia" w:ascii="Times New Roman" w:hAnsi="Times New Roman" w:eastAsia="宋体" w:cs="Times New Roman"/>
          <w:sz w:val="24"/>
          <w:szCs w:val="24"/>
        </w:rPr>
        <w:t>元素含量显著高于其他类型。</w:t>
      </w:r>
    </w:p>
    <w:p w14:paraId="531CBD0D">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针对几个种源多花黄精的指标成分和矿质含量差异表现得出，多花黄精主要指标成分中多糖含量差异较大，黄酮和总酚含量间差异相对较小，多糖作为黄精中起主要药效作用的物质，其差异性直接影响药材品质，其次总皂苷的含量也有一定的差异，且多糖和总皂苷含量均是宽叶多花黄精最高，说明该类型具有一定的优良品种选择优势。多花黄精的矿质元素含量丰富，其中重金属元素</w:t>
      </w:r>
      <w:r>
        <w:rPr>
          <w:rFonts w:ascii="Times New Roman" w:hAnsi="Times New Roman" w:eastAsia="宋体" w:cs="Times New Roman"/>
          <w:sz w:val="24"/>
          <w:szCs w:val="24"/>
        </w:rPr>
        <w:t>Pb</w:t>
      </w:r>
      <w:r>
        <w:rPr>
          <w:rFonts w:hint="eastAsia" w:ascii="Times New Roman" w:hAnsi="Times New Roman" w:eastAsia="宋体" w:cs="Times New Roman"/>
          <w:sz w:val="24"/>
          <w:szCs w:val="24"/>
        </w:rPr>
        <w:t>和</w:t>
      </w:r>
      <w:r>
        <w:rPr>
          <w:rFonts w:ascii="Times New Roman" w:hAnsi="Times New Roman" w:eastAsia="宋体" w:cs="Times New Roman"/>
          <w:sz w:val="24"/>
          <w:szCs w:val="24"/>
        </w:rPr>
        <w:t>Cr</w:t>
      </w:r>
      <w:r>
        <w:rPr>
          <w:rFonts w:hint="eastAsia" w:ascii="Times New Roman" w:hAnsi="Times New Roman" w:eastAsia="宋体" w:cs="Times New Roman"/>
          <w:sz w:val="24"/>
          <w:szCs w:val="24"/>
        </w:rPr>
        <w:t>含量较低，满足药材食品的含量标准，可以放心食用；而</w:t>
      </w:r>
      <w:r>
        <w:rPr>
          <w:rFonts w:ascii="Times New Roman" w:hAnsi="Times New Roman" w:eastAsia="宋体" w:cs="Times New Roman"/>
          <w:sz w:val="24"/>
          <w:szCs w:val="24"/>
        </w:rPr>
        <w:t>Mg</w:t>
      </w:r>
      <w:r>
        <w:rPr>
          <w:rFonts w:hint="eastAsia" w:ascii="Times New Roman" w:hAnsi="Times New Roman" w:eastAsia="宋体" w:cs="Times New Roman"/>
          <w:sz w:val="24"/>
          <w:szCs w:val="24"/>
        </w:rPr>
        <w:t>、</w:t>
      </w:r>
      <w:r>
        <w:rPr>
          <w:rFonts w:ascii="Times New Roman" w:hAnsi="Times New Roman" w:eastAsia="宋体" w:cs="Times New Roman"/>
          <w:sz w:val="24"/>
          <w:szCs w:val="24"/>
        </w:rPr>
        <w:t>P</w:t>
      </w:r>
      <w:r>
        <w:rPr>
          <w:rFonts w:hint="eastAsia" w:ascii="Times New Roman" w:hAnsi="Times New Roman" w:eastAsia="宋体" w:cs="Times New Roman"/>
          <w:sz w:val="24"/>
          <w:szCs w:val="24"/>
        </w:rPr>
        <w:t>、</w:t>
      </w:r>
      <w:r>
        <w:rPr>
          <w:rFonts w:ascii="Times New Roman" w:hAnsi="Times New Roman" w:eastAsia="宋体" w:cs="Times New Roman"/>
          <w:sz w:val="24"/>
          <w:szCs w:val="24"/>
        </w:rPr>
        <w:t>K</w:t>
      </w:r>
      <w:r>
        <w:rPr>
          <w:rFonts w:hint="eastAsia" w:ascii="Times New Roman" w:hAnsi="Times New Roman" w:eastAsia="宋体" w:cs="Times New Roman"/>
          <w:sz w:val="24"/>
          <w:szCs w:val="24"/>
        </w:rPr>
        <w:t>、</w:t>
      </w:r>
      <w:r>
        <w:rPr>
          <w:rFonts w:ascii="Times New Roman" w:hAnsi="Times New Roman" w:eastAsia="宋体" w:cs="Times New Roman"/>
          <w:sz w:val="24"/>
          <w:szCs w:val="24"/>
        </w:rPr>
        <w:t>Zn</w:t>
      </w:r>
      <w:r>
        <w:rPr>
          <w:rFonts w:hint="eastAsia" w:ascii="Times New Roman" w:hAnsi="Times New Roman" w:eastAsia="宋体" w:cs="Times New Roman"/>
          <w:sz w:val="24"/>
          <w:szCs w:val="24"/>
        </w:rPr>
        <w:t>等元素对人体有益的微量元素含量也比较丰富，因此长期食用黄精对人体有很好的保健作用。</w:t>
      </w:r>
      <w:r>
        <w:rPr>
          <w:rFonts w:ascii="Times New Roman" w:hAnsi="Times New Roman" w:eastAsia="宋体" w:cs="Times New Roman"/>
          <w:sz w:val="24"/>
          <w:szCs w:val="24"/>
        </w:rPr>
        <w:t>Fe</w:t>
      </w:r>
      <w:r>
        <w:rPr>
          <w:rFonts w:hint="eastAsia" w:ascii="Times New Roman" w:hAnsi="Times New Roman" w:eastAsia="宋体" w:cs="Times New Roman"/>
          <w:sz w:val="24"/>
          <w:szCs w:val="24"/>
        </w:rPr>
        <w:t>含量高，可以配合维生素等进行使用，起到预防缺铁性贫血等症状。此外，</w:t>
      </w:r>
      <w:r>
        <w:rPr>
          <w:rFonts w:ascii="Times New Roman" w:hAnsi="Times New Roman" w:eastAsia="宋体" w:cs="Times New Roman"/>
          <w:sz w:val="24"/>
          <w:szCs w:val="24"/>
        </w:rPr>
        <w:t>Fe</w:t>
      </w:r>
      <w:r>
        <w:rPr>
          <w:rFonts w:hint="eastAsia" w:ascii="Times New Roman" w:hAnsi="Times New Roman" w:eastAsia="宋体" w:cs="Times New Roman"/>
          <w:sz w:val="24"/>
          <w:szCs w:val="24"/>
        </w:rPr>
        <w:t>元素含量明显高于其他元素，这种差异可能与种植地土壤环境等因素有关，因此，需要进一步研究不同土壤环境对黄精根茎中</w:t>
      </w:r>
      <w:r>
        <w:rPr>
          <w:rFonts w:ascii="Times New Roman" w:hAnsi="Times New Roman" w:eastAsia="宋体" w:cs="Times New Roman"/>
          <w:sz w:val="24"/>
          <w:szCs w:val="24"/>
        </w:rPr>
        <w:t>Fe</w:t>
      </w:r>
      <w:r>
        <w:rPr>
          <w:rFonts w:hint="eastAsia" w:ascii="Times New Roman" w:hAnsi="Times New Roman" w:eastAsia="宋体" w:cs="Times New Roman"/>
          <w:sz w:val="24"/>
          <w:szCs w:val="24"/>
        </w:rPr>
        <w:t>元素含量的影响。</w:t>
      </w:r>
    </w:p>
    <w:p w14:paraId="189D1397">
      <w:pPr>
        <w:spacing w:line="360" w:lineRule="auto"/>
        <w:jc w:val="center"/>
        <w:rPr>
          <w:rFonts w:ascii="Times New Roman" w:hAnsi="Times New Roman" w:eastAsia="宋体" w:cs="Times New Roman"/>
          <w:bCs/>
          <w:sz w:val="24"/>
        </w:rPr>
      </w:pPr>
      <w:r>
        <w:rPr>
          <w:rFonts w:hint="eastAsia" w:ascii="Times New Roman" w:hAnsi="Times New Roman" w:eastAsia="宋体" w:cs="Times New Roman"/>
          <w:bCs/>
          <w:sz w:val="24"/>
        </w:rPr>
        <w:t>表</w:t>
      </w:r>
      <w:r>
        <w:rPr>
          <w:rFonts w:ascii="Times New Roman" w:hAnsi="Times New Roman" w:eastAsia="宋体" w:cs="Times New Roman"/>
          <w:bCs/>
          <w:sz w:val="24"/>
        </w:rPr>
        <w:t xml:space="preserve">3-6 </w:t>
      </w:r>
      <w:r>
        <w:rPr>
          <w:rFonts w:hint="eastAsia" w:ascii="Times New Roman" w:hAnsi="Times New Roman" w:eastAsia="宋体" w:cs="Times New Roman"/>
          <w:bCs/>
          <w:sz w:val="24"/>
        </w:rPr>
        <w:t>不同类型多花黄精各化学成分含量差异（</w:t>
      </w:r>
      <w:r>
        <w:rPr>
          <w:rFonts w:ascii="Times New Roman" w:hAnsi="Times New Roman" w:eastAsia="宋体" w:cs="Times New Roman"/>
          <w:bCs/>
          <w:sz w:val="24"/>
        </w:rPr>
        <w:t>n=30）</w:t>
      </w:r>
    </w:p>
    <w:p w14:paraId="75A1CFB5">
      <w:pPr>
        <w:spacing w:line="360" w:lineRule="auto"/>
        <w:jc w:val="center"/>
        <w:rPr>
          <w:rFonts w:ascii="Times New Roman" w:hAnsi="Times New Roman" w:eastAsia="宋体" w:cs="Times New Roman"/>
          <w:bCs/>
          <w:sz w:val="24"/>
        </w:rPr>
      </w:pPr>
      <w:r>
        <w:rPr>
          <w:rFonts w:ascii="Times New Roman" w:hAnsi="Times New Roman" w:eastAsia="宋体" w:cs="Times New Roman"/>
          <w:bCs/>
          <w:sz w:val="24"/>
        </w:rPr>
        <w:t xml:space="preserve">Table3-6 Differences of chemical components in different types of </w:t>
      </w:r>
      <w:r>
        <w:rPr>
          <w:rFonts w:ascii="Times New Roman" w:hAnsi="Times New Roman" w:eastAsia="宋体" w:cs="Times New Roman"/>
          <w:bCs/>
          <w:i/>
          <w:sz w:val="24"/>
          <w:szCs w:val="21"/>
        </w:rPr>
        <w:t>P.cyrtnema</w:t>
      </w:r>
      <w:r>
        <w:rPr>
          <w:rFonts w:ascii="Times New Roman" w:hAnsi="Times New Roman" w:eastAsia="宋体" w:cs="Times New Roman"/>
          <w:bCs/>
          <w:sz w:val="24"/>
        </w:rPr>
        <w:t xml:space="preserve"> </w:t>
      </w:r>
    </w:p>
    <w:tbl>
      <w:tblPr>
        <w:tblStyle w:val="27"/>
        <w:tblW w:w="5000" w:type="pct"/>
        <w:jc w:val="center"/>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177"/>
        <w:gridCol w:w="1796"/>
        <w:gridCol w:w="1917"/>
        <w:gridCol w:w="1817"/>
        <w:gridCol w:w="1815"/>
      </w:tblGrid>
      <w:tr w14:paraId="55293E57">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690" w:type="pct"/>
            <w:tcBorders>
              <w:top w:val="single" w:color="auto" w:sz="8" w:space="0"/>
              <w:bottom w:val="single" w:color="auto" w:sz="4" w:space="0"/>
            </w:tcBorders>
            <w:shd w:val="clear" w:color="auto" w:fill="auto"/>
            <w:noWrap/>
            <w:vAlign w:val="center"/>
          </w:tcPr>
          <w:p w14:paraId="10F4E5CC">
            <w:pPr>
              <w:widowControl/>
              <w:adjustRightInd w:val="0"/>
              <w:spacing w:line="360" w:lineRule="auto"/>
              <w:jc w:val="center"/>
              <w:rPr>
                <w:rFonts w:ascii="Times New Roman" w:hAnsi="Times New Roman" w:eastAsia="宋体" w:cs="Times New Roman"/>
                <w:color w:val="000000"/>
                <w:kern w:val="0"/>
                <w:szCs w:val="18"/>
              </w:rPr>
            </w:pPr>
            <w:r>
              <w:rPr>
                <w:rFonts w:hint="eastAsia" w:ascii="Times New Roman" w:hAnsi="Times New Roman" w:eastAsia="宋体" w:cs="Times New Roman"/>
                <w:color w:val="000000"/>
                <w:kern w:val="0"/>
                <w:szCs w:val="18"/>
              </w:rPr>
              <w:t>指标</w:t>
            </w:r>
          </w:p>
        </w:tc>
        <w:tc>
          <w:tcPr>
            <w:tcW w:w="1054" w:type="pct"/>
            <w:tcBorders>
              <w:top w:val="single" w:color="auto" w:sz="8" w:space="0"/>
              <w:bottom w:val="single" w:color="auto" w:sz="4" w:space="0"/>
            </w:tcBorders>
            <w:shd w:val="clear" w:color="auto" w:fill="auto"/>
            <w:vAlign w:val="center"/>
          </w:tcPr>
          <w:p w14:paraId="2D892A13">
            <w:pPr>
              <w:widowControl/>
              <w:adjustRightInd w:val="0"/>
              <w:spacing w:line="360" w:lineRule="auto"/>
              <w:jc w:val="center"/>
              <w:rPr>
                <w:rFonts w:ascii="Times New Roman" w:hAnsi="Times New Roman" w:eastAsia="宋体" w:cs="Times New Roman"/>
                <w:color w:val="000000"/>
                <w:kern w:val="0"/>
                <w:szCs w:val="18"/>
              </w:rPr>
            </w:pPr>
            <w:r>
              <w:rPr>
                <w:rFonts w:hint="eastAsia" w:ascii="Times New Roman" w:hAnsi="Times New Roman" w:eastAsia="宋体" w:cs="Times New Roman"/>
                <w:color w:val="000000"/>
                <w:kern w:val="0"/>
                <w:szCs w:val="18"/>
              </w:rPr>
              <w:t>宽叶多花黄精</w:t>
            </w:r>
          </w:p>
        </w:tc>
        <w:tc>
          <w:tcPr>
            <w:tcW w:w="1125" w:type="pct"/>
            <w:tcBorders>
              <w:top w:val="single" w:color="auto" w:sz="8" w:space="0"/>
              <w:bottom w:val="single" w:color="auto" w:sz="4" w:space="0"/>
            </w:tcBorders>
            <w:shd w:val="clear" w:color="auto" w:fill="auto"/>
            <w:vAlign w:val="center"/>
          </w:tcPr>
          <w:p w14:paraId="730FA954">
            <w:pPr>
              <w:widowControl/>
              <w:adjustRightInd w:val="0"/>
              <w:spacing w:line="360" w:lineRule="auto"/>
              <w:jc w:val="center"/>
              <w:rPr>
                <w:rFonts w:ascii="Times New Roman" w:hAnsi="Times New Roman" w:eastAsia="宋体" w:cs="Times New Roman"/>
                <w:color w:val="000000"/>
                <w:kern w:val="0"/>
                <w:szCs w:val="18"/>
              </w:rPr>
            </w:pPr>
            <w:r>
              <w:rPr>
                <w:rFonts w:hint="eastAsia" w:ascii="Times New Roman" w:hAnsi="Times New Roman" w:eastAsia="宋体" w:cs="Times New Roman"/>
                <w:color w:val="000000"/>
                <w:kern w:val="0"/>
                <w:szCs w:val="18"/>
              </w:rPr>
              <w:t>窄叶多花黄精</w:t>
            </w:r>
          </w:p>
        </w:tc>
        <w:tc>
          <w:tcPr>
            <w:tcW w:w="1066" w:type="pct"/>
            <w:tcBorders>
              <w:top w:val="single" w:color="auto" w:sz="8" w:space="0"/>
              <w:bottom w:val="single" w:color="auto" w:sz="4" w:space="0"/>
            </w:tcBorders>
            <w:shd w:val="clear" w:color="auto" w:fill="auto"/>
            <w:vAlign w:val="center"/>
          </w:tcPr>
          <w:p w14:paraId="23401940">
            <w:pPr>
              <w:widowControl/>
              <w:adjustRightInd w:val="0"/>
              <w:spacing w:line="360" w:lineRule="auto"/>
              <w:jc w:val="center"/>
              <w:rPr>
                <w:rFonts w:ascii="Times New Roman" w:hAnsi="Times New Roman" w:eastAsia="宋体" w:cs="Times New Roman"/>
                <w:color w:val="000000"/>
                <w:kern w:val="0"/>
                <w:szCs w:val="18"/>
              </w:rPr>
            </w:pPr>
            <w:r>
              <w:rPr>
                <w:rFonts w:hint="eastAsia" w:ascii="Times New Roman" w:hAnsi="Times New Roman" w:eastAsia="宋体" w:cs="Times New Roman"/>
                <w:color w:val="000000"/>
                <w:kern w:val="0"/>
                <w:szCs w:val="18"/>
              </w:rPr>
              <w:t>九华山多花黄精</w:t>
            </w:r>
          </w:p>
        </w:tc>
        <w:tc>
          <w:tcPr>
            <w:tcW w:w="1065" w:type="pct"/>
            <w:tcBorders>
              <w:top w:val="single" w:color="auto" w:sz="8" w:space="0"/>
              <w:bottom w:val="single" w:color="auto" w:sz="4" w:space="0"/>
            </w:tcBorders>
            <w:shd w:val="clear" w:color="auto" w:fill="auto"/>
            <w:vAlign w:val="center"/>
          </w:tcPr>
          <w:p w14:paraId="02EADAE6">
            <w:pPr>
              <w:widowControl/>
              <w:adjustRightInd w:val="0"/>
              <w:spacing w:line="360" w:lineRule="auto"/>
              <w:jc w:val="center"/>
              <w:rPr>
                <w:rFonts w:ascii="Times New Roman" w:hAnsi="Times New Roman" w:eastAsia="宋体" w:cs="Times New Roman"/>
                <w:color w:val="000000"/>
                <w:kern w:val="0"/>
                <w:szCs w:val="18"/>
              </w:rPr>
            </w:pPr>
            <w:r>
              <w:rPr>
                <w:rFonts w:hint="eastAsia" w:ascii="Times New Roman" w:hAnsi="Times New Roman" w:eastAsia="宋体" w:cs="Times New Roman"/>
                <w:color w:val="000000"/>
                <w:kern w:val="0"/>
                <w:szCs w:val="18"/>
              </w:rPr>
              <w:t>怀化多花黄精</w:t>
            </w:r>
          </w:p>
        </w:tc>
      </w:tr>
      <w:tr w14:paraId="5D1F9828">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690" w:type="pct"/>
            <w:tcBorders>
              <w:top w:val="single" w:color="auto" w:sz="4" w:space="0"/>
            </w:tcBorders>
            <w:shd w:val="clear" w:color="auto" w:fill="auto"/>
            <w:vAlign w:val="center"/>
          </w:tcPr>
          <w:p w14:paraId="7C1B57FD">
            <w:pPr>
              <w:widowControl/>
              <w:adjustRightInd w:val="0"/>
              <w:spacing w:line="360" w:lineRule="auto"/>
              <w:jc w:val="center"/>
              <w:rPr>
                <w:rFonts w:ascii="Times New Roman" w:hAnsi="Times New Roman" w:eastAsia="宋体" w:cs="Times New Roman"/>
                <w:color w:val="000000"/>
                <w:kern w:val="0"/>
                <w:szCs w:val="18"/>
              </w:rPr>
            </w:pPr>
            <w:r>
              <w:rPr>
                <w:rFonts w:hint="eastAsia" w:ascii="Times New Roman" w:hAnsi="Times New Roman" w:eastAsia="宋体" w:cs="Times New Roman"/>
                <w:color w:val="000000"/>
                <w:kern w:val="0"/>
                <w:szCs w:val="18"/>
              </w:rPr>
              <w:t>浸出物</w:t>
            </w:r>
            <w:r>
              <w:rPr>
                <w:rFonts w:ascii="Times New Roman" w:hAnsi="Times New Roman" w:eastAsia="宋体" w:cs="Times New Roman"/>
                <w:color w:val="000000"/>
                <w:kern w:val="0"/>
                <w:szCs w:val="18"/>
              </w:rPr>
              <w:t>(%)</w:t>
            </w:r>
          </w:p>
        </w:tc>
        <w:tc>
          <w:tcPr>
            <w:tcW w:w="1054" w:type="pct"/>
            <w:tcBorders>
              <w:top w:val="single" w:color="auto" w:sz="4" w:space="0"/>
            </w:tcBorders>
            <w:shd w:val="clear" w:color="auto" w:fill="auto"/>
            <w:noWrap/>
            <w:vAlign w:val="center"/>
          </w:tcPr>
          <w:p w14:paraId="29C5D267">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75.2±1.742a</w:t>
            </w:r>
          </w:p>
        </w:tc>
        <w:tc>
          <w:tcPr>
            <w:tcW w:w="1125" w:type="pct"/>
            <w:tcBorders>
              <w:top w:val="single" w:color="auto" w:sz="4" w:space="0"/>
            </w:tcBorders>
            <w:shd w:val="clear" w:color="auto" w:fill="auto"/>
            <w:noWrap/>
            <w:vAlign w:val="center"/>
          </w:tcPr>
          <w:p w14:paraId="777B2C74">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76.62±2.515a</w:t>
            </w:r>
          </w:p>
        </w:tc>
        <w:tc>
          <w:tcPr>
            <w:tcW w:w="1066" w:type="pct"/>
            <w:tcBorders>
              <w:top w:val="single" w:color="auto" w:sz="4" w:space="0"/>
            </w:tcBorders>
            <w:shd w:val="clear" w:color="auto" w:fill="auto"/>
            <w:noWrap/>
            <w:vAlign w:val="center"/>
          </w:tcPr>
          <w:p w14:paraId="18C4F919">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77.5±0.896a</w:t>
            </w:r>
          </w:p>
        </w:tc>
        <w:tc>
          <w:tcPr>
            <w:tcW w:w="1065" w:type="pct"/>
            <w:tcBorders>
              <w:top w:val="single" w:color="auto" w:sz="4" w:space="0"/>
            </w:tcBorders>
            <w:shd w:val="clear" w:color="auto" w:fill="auto"/>
            <w:noWrap/>
            <w:vAlign w:val="center"/>
          </w:tcPr>
          <w:p w14:paraId="3D13F79F">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71.15±0.822b</w:t>
            </w:r>
          </w:p>
        </w:tc>
      </w:tr>
      <w:tr w14:paraId="2499D92C">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690" w:type="pct"/>
            <w:shd w:val="clear" w:color="auto" w:fill="auto"/>
            <w:vAlign w:val="center"/>
          </w:tcPr>
          <w:p w14:paraId="24EED92A">
            <w:pPr>
              <w:widowControl/>
              <w:adjustRightInd w:val="0"/>
              <w:spacing w:line="360" w:lineRule="auto"/>
              <w:jc w:val="center"/>
              <w:rPr>
                <w:rFonts w:ascii="Times New Roman" w:hAnsi="Times New Roman" w:eastAsia="宋体" w:cs="Times New Roman"/>
                <w:color w:val="000000"/>
                <w:kern w:val="0"/>
                <w:szCs w:val="18"/>
              </w:rPr>
            </w:pPr>
            <w:r>
              <w:rPr>
                <w:rFonts w:hint="eastAsia" w:ascii="Times New Roman" w:hAnsi="Times New Roman" w:eastAsia="宋体" w:cs="Times New Roman"/>
                <w:color w:val="000000"/>
                <w:kern w:val="0"/>
                <w:szCs w:val="18"/>
              </w:rPr>
              <w:t>多糖</w:t>
            </w:r>
            <w:r>
              <w:rPr>
                <w:rFonts w:ascii="Times New Roman" w:hAnsi="Times New Roman" w:eastAsia="宋体" w:cs="Times New Roman"/>
                <w:color w:val="000000"/>
                <w:kern w:val="0"/>
                <w:szCs w:val="18"/>
              </w:rPr>
              <w:t>(%)</w:t>
            </w:r>
          </w:p>
        </w:tc>
        <w:tc>
          <w:tcPr>
            <w:tcW w:w="1054" w:type="pct"/>
            <w:shd w:val="clear" w:color="auto" w:fill="auto"/>
            <w:noWrap/>
            <w:vAlign w:val="center"/>
          </w:tcPr>
          <w:p w14:paraId="3B8D005D">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12.29±1.213a</w:t>
            </w:r>
          </w:p>
        </w:tc>
        <w:tc>
          <w:tcPr>
            <w:tcW w:w="1125" w:type="pct"/>
            <w:shd w:val="clear" w:color="auto" w:fill="auto"/>
            <w:noWrap/>
            <w:vAlign w:val="center"/>
          </w:tcPr>
          <w:p w14:paraId="6BB3B13C">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9±0.486b</w:t>
            </w:r>
          </w:p>
        </w:tc>
        <w:tc>
          <w:tcPr>
            <w:tcW w:w="1066" w:type="pct"/>
            <w:shd w:val="clear" w:color="auto" w:fill="auto"/>
            <w:noWrap/>
            <w:vAlign w:val="center"/>
          </w:tcPr>
          <w:p w14:paraId="3F19F508">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6.3±1.64c</w:t>
            </w:r>
          </w:p>
        </w:tc>
        <w:tc>
          <w:tcPr>
            <w:tcW w:w="1065" w:type="pct"/>
            <w:shd w:val="clear" w:color="auto" w:fill="auto"/>
            <w:noWrap/>
            <w:vAlign w:val="center"/>
          </w:tcPr>
          <w:p w14:paraId="3E96751B">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7.72±0.493c</w:t>
            </w:r>
          </w:p>
        </w:tc>
      </w:tr>
      <w:tr w14:paraId="34A0F972">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690" w:type="pct"/>
            <w:shd w:val="clear" w:color="auto" w:fill="auto"/>
            <w:vAlign w:val="center"/>
          </w:tcPr>
          <w:p w14:paraId="7480C7D3">
            <w:pPr>
              <w:widowControl/>
              <w:adjustRightInd w:val="0"/>
              <w:spacing w:line="360" w:lineRule="auto"/>
              <w:jc w:val="center"/>
              <w:rPr>
                <w:rFonts w:ascii="Times New Roman" w:hAnsi="Times New Roman" w:eastAsia="宋体" w:cs="Times New Roman"/>
                <w:color w:val="000000"/>
                <w:kern w:val="0"/>
                <w:szCs w:val="18"/>
              </w:rPr>
            </w:pPr>
            <w:r>
              <w:rPr>
                <w:rFonts w:hint="eastAsia" w:ascii="Times New Roman" w:hAnsi="Times New Roman" w:eastAsia="宋体" w:cs="Times New Roman"/>
                <w:color w:val="000000"/>
                <w:kern w:val="0"/>
                <w:szCs w:val="18"/>
              </w:rPr>
              <w:t>总皂苷</w:t>
            </w:r>
            <w:r>
              <w:rPr>
                <w:rFonts w:ascii="Times New Roman" w:hAnsi="Times New Roman" w:eastAsia="宋体" w:cs="Times New Roman"/>
                <w:color w:val="000000"/>
                <w:kern w:val="0"/>
                <w:szCs w:val="18"/>
              </w:rPr>
              <w:t>(%)</w:t>
            </w:r>
          </w:p>
        </w:tc>
        <w:tc>
          <w:tcPr>
            <w:tcW w:w="1054" w:type="pct"/>
            <w:shd w:val="clear" w:color="auto" w:fill="auto"/>
            <w:noWrap/>
            <w:vAlign w:val="center"/>
          </w:tcPr>
          <w:p w14:paraId="71B1E31F">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12.03±0.135a</w:t>
            </w:r>
          </w:p>
        </w:tc>
        <w:tc>
          <w:tcPr>
            <w:tcW w:w="1125" w:type="pct"/>
            <w:shd w:val="clear" w:color="auto" w:fill="auto"/>
            <w:noWrap/>
            <w:vAlign w:val="center"/>
          </w:tcPr>
          <w:p w14:paraId="3C46F98E">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11.7±0.3a</w:t>
            </w:r>
          </w:p>
        </w:tc>
        <w:tc>
          <w:tcPr>
            <w:tcW w:w="1066" w:type="pct"/>
            <w:shd w:val="clear" w:color="auto" w:fill="auto"/>
            <w:noWrap/>
            <w:vAlign w:val="center"/>
          </w:tcPr>
          <w:p w14:paraId="79618464">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8.78±0.08c</w:t>
            </w:r>
          </w:p>
        </w:tc>
        <w:tc>
          <w:tcPr>
            <w:tcW w:w="1065" w:type="pct"/>
            <w:shd w:val="clear" w:color="auto" w:fill="auto"/>
            <w:noWrap/>
            <w:vAlign w:val="center"/>
          </w:tcPr>
          <w:p w14:paraId="7227567B">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10.85±0.105b</w:t>
            </w:r>
          </w:p>
        </w:tc>
      </w:tr>
      <w:tr w14:paraId="29786367">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690" w:type="pct"/>
            <w:shd w:val="clear" w:color="auto" w:fill="auto"/>
            <w:vAlign w:val="center"/>
          </w:tcPr>
          <w:p w14:paraId="302403A1">
            <w:pPr>
              <w:widowControl/>
              <w:adjustRightInd w:val="0"/>
              <w:spacing w:line="360" w:lineRule="auto"/>
              <w:jc w:val="center"/>
              <w:rPr>
                <w:rFonts w:ascii="Times New Roman" w:hAnsi="Times New Roman" w:eastAsia="宋体" w:cs="Times New Roman"/>
                <w:color w:val="000000"/>
                <w:kern w:val="0"/>
                <w:szCs w:val="18"/>
              </w:rPr>
            </w:pPr>
            <w:r>
              <w:rPr>
                <w:rFonts w:hint="eastAsia" w:ascii="Times New Roman" w:hAnsi="Times New Roman" w:eastAsia="宋体" w:cs="Times New Roman"/>
                <w:color w:val="000000"/>
                <w:kern w:val="0"/>
                <w:szCs w:val="18"/>
              </w:rPr>
              <w:t>总黄酮</w:t>
            </w:r>
            <w:r>
              <w:rPr>
                <w:rFonts w:ascii="Times New Roman" w:hAnsi="Times New Roman" w:eastAsia="宋体" w:cs="Times New Roman"/>
                <w:color w:val="000000"/>
                <w:kern w:val="0"/>
                <w:szCs w:val="18"/>
              </w:rPr>
              <w:t>(%)</w:t>
            </w:r>
          </w:p>
        </w:tc>
        <w:tc>
          <w:tcPr>
            <w:tcW w:w="1054" w:type="pct"/>
            <w:shd w:val="clear" w:color="auto" w:fill="auto"/>
            <w:noWrap/>
            <w:vAlign w:val="center"/>
          </w:tcPr>
          <w:p w14:paraId="45898289">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0.08±0.006b</w:t>
            </w:r>
          </w:p>
        </w:tc>
        <w:tc>
          <w:tcPr>
            <w:tcW w:w="1125" w:type="pct"/>
            <w:shd w:val="clear" w:color="auto" w:fill="auto"/>
            <w:noWrap/>
            <w:vAlign w:val="center"/>
          </w:tcPr>
          <w:p w14:paraId="49D1B131">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0.1±0.01a</w:t>
            </w:r>
          </w:p>
        </w:tc>
        <w:tc>
          <w:tcPr>
            <w:tcW w:w="1066" w:type="pct"/>
            <w:shd w:val="clear" w:color="auto" w:fill="auto"/>
            <w:noWrap/>
            <w:vAlign w:val="center"/>
          </w:tcPr>
          <w:p w14:paraId="6BED276E">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0.1±0.006a</w:t>
            </w:r>
          </w:p>
        </w:tc>
        <w:tc>
          <w:tcPr>
            <w:tcW w:w="1065" w:type="pct"/>
            <w:shd w:val="clear" w:color="auto" w:fill="auto"/>
            <w:noWrap/>
            <w:vAlign w:val="center"/>
          </w:tcPr>
          <w:p w14:paraId="6C412464">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0.11±0.006a</w:t>
            </w:r>
          </w:p>
        </w:tc>
      </w:tr>
      <w:tr w14:paraId="4232BC63">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690" w:type="pct"/>
            <w:shd w:val="clear" w:color="auto" w:fill="auto"/>
            <w:vAlign w:val="center"/>
          </w:tcPr>
          <w:p w14:paraId="6FD17884">
            <w:pPr>
              <w:widowControl/>
              <w:adjustRightInd w:val="0"/>
              <w:spacing w:line="360" w:lineRule="auto"/>
              <w:jc w:val="center"/>
              <w:rPr>
                <w:rFonts w:ascii="Times New Roman" w:hAnsi="Times New Roman" w:eastAsia="宋体" w:cs="Times New Roman"/>
                <w:color w:val="000000"/>
                <w:kern w:val="0"/>
                <w:szCs w:val="18"/>
              </w:rPr>
            </w:pPr>
            <w:r>
              <w:rPr>
                <w:rFonts w:hint="eastAsia" w:ascii="Times New Roman" w:hAnsi="Times New Roman" w:eastAsia="宋体" w:cs="Times New Roman"/>
                <w:color w:val="000000"/>
                <w:kern w:val="0"/>
                <w:szCs w:val="18"/>
              </w:rPr>
              <w:t>总酚</w:t>
            </w:r>
            <w:r>
              <w:rPr>
                <w:rFonts w:ascii="Times New Roman" w:hAnsi="Times New Roman" w:eastAsia="宋体" w:cs="Times New Roman"/>
                <w:color w:val="000000"/>
                <w:kern w:val="0"/>
                <w:szCs w:val="18"/>
              </w:rPr>
              <w:t>(%)</w:t>
            </w:r>
          </w:p>
        </w:tc>
        <w:tc>
          <w:tcPr>
            <w:tcW w:w="1054" w:type="pct"/>
            <w:shd w:val="clear" w:color="auto" w:fill="auto"/>
            <w:noWrap/>
            <w:vAlign w:val="center"/>
          </w:tcPr>
          <w:p w14:paraId="74A02C72">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0.19±0.006b</w:t>
            </w:r>
          </w:p>
        </w:tc>
        <w:tc>
          <w:tcPr>
            <w:tcW w:w="1125" w:type="pct"/>
            <w:shd w:val="clear" w:color="auto" w:fill="auto"/>
            <w:noWrap/>
            <w:vAlign w:val="center"/>
          </w:tcPr>
          <w:p w14:paraId="7446BC10">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0.16±0.006c</w:t>
            </w:r>
          </w:p>
        </w:tc>
        <w:tc>
          <w:tcPr>
            <w:tcW w:w="1066" w:type="pct"/>
            <w:shd w:val="clear" w:color="auto" w:fill="auto"/>
            <w:noWrap/>
            <w:vAlign w:val="center"/>
          </w:tcPr>
          <w:p w14:paraId="49D2E204">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0.16±0.006c</w:t>
            </w:r>
          </w:p>
        </w:tc>
        <w:tc>
          <w:tcPr>
            <w:tcW w:w="1065" w:type="pct"/>
            <w:shd w:val="clear" w:color="auto" w:fill="auto"/>
            <w:noWrap/>
            <w:vAlign w:val="center"/>
          </w:tcPr>
          <w:p w14:paraId="2FE1452E">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0.28±0.006a</w:t>
            </w:r>
          </w:p>
        </w:tc>
      </w:tr>
      <w:tr w14:paraId="2682825E">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690" w:type="pct"/>
            <w:shd w:val="clear" w:color="auto" w:fill="auto"/>
            <w:vAlign w:val="center"/>
          </w:tcPr>
          <w:p w14:paraId="5AF79FAF">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Cr(μg/ml)</w:t>
            </w:r>
          </w:p>
        </w:tc>
        <w:tc>
          <w:tcPr>
            <w:tcW w:w="1054" w:type="pct"/>
            <w:shd w:val="clear" w:color="auto" w:fill="auto"/>
            <w:noWrap/>
            <w:vAlign w:val="center"/>
          </w:tcPr>
          <w:p w14:paraId="12454715">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0.348±0.035a</w:t>
            </w:r>
          </w:p>
        </w:tc>
        <w:tc>
          <w:tcPr>
            <w:tcW w:w="1125" w:type="pct"/>
            <w:shd w:val="clear" w:color="auto" w:fill="auto"/>
            <w:noWrap/>
            <w:vAlign w:val="center"/>
          </w:tcPr>
          <w:p w14:paraId="049BDC64">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0.373±0.087a</w:t>
            </w:r>
          </w:p>
        </w:tc>
        <w:tc>
          <w:tcPr>
            <w:tcW w:w="1066" w:type="pct"/>
            <w:shd w:val="clear" w:color="auto" w:fill="auto"/>
            <w:noWrap/>
            <w:vAlign w:val="center"/>
          </w:tcPr>
          <w:p w14:paraId="69723B03">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0.419±0.086a</w:t>
            </w:r>
          </w:p>
        </w:tc>
        <w:tc>
          <w:tcPr>
            <w:tcW w:w="1065" w:type="pct"/>
            <w:shd w:val="clear" w:color="auto" w:fill="auto"/>
            <w:noWrap/>
            <w:vAlign w:val="center"/>
          </w:tcPr>
          <w:p w14:paraId="3CC6F6F8">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0.358±0.01a</w:t>
            </w:r>
          </w:p>
        </w:tc>
      </w:tr>
      <w:tr w14:paraId="1EE33C30">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690" w:type="pct"/>
            <w:shd w:val="clear" w:color="auto" w:fill="auto"/>
            <w:vAlign w:val="center"/>
          </w:tcPr>
          <w:p w14:paraId="2780BFCC">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Cu(μg/ml)</w:t>
            </w:r>
          </w:p>
        </w:tc>
        <w:tc>
          <w:tcPr>
            <w:tcW w:w="1054" w:type="pct"/>
            <w:shd w:val="clear" w:color="auto" w:fill="auto"/>
            <w:noWrap/>
            <w:vAlign w:val="center"/>
          </w:tcPr>
          <w:p w14:paraId="37FD8CBD">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0.105±0.001a</w:t>
            </w:r>
          </w:p>
        </w:tc>
        <w:tc>
          <w:tcPr>
            <w:tcW w:w="1125" w:type="pct"/>
            <w:shd w:val="clear" w:color="auto" w:fill="auto"/>
            <w:noWrap/>
            <w:vAlign w:val="center"/>
          </w:tcPr>
          <w:p w14:paraId="324D3A02">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0.102±0a</w:t>
            </w:r>
          </w:p>
        </w:tc>
        <w:tc>
          <w:tcPr>
            <w:tcW w:w="1066" w:type="pct"/>
            <w:shd w:val="clear" w:color="auto" w:fill="auto"/>
            <w:noWrap/>
            <w:vAlign w:val="center"/>
          </w:tcPr>
          <w:p w14:paraId="178D4C73">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0.105±0.001a</w:t>
            </w:r>
          </w:p>
        </w:tc>
        <w:tc>
          <w:tcPr>
            <w:tcW w:w="1065" w:type="pct"/>
            <w:shd w:val="clear" w:color="auto" w:fill="auto"/>
            <w:noWrap/>
            <w:vAlign w:val="center"/>
          </w:tcPr>
          <w:p w14:paraId="39162F14">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0.104±0a</w:t>
            </w:r>
          </w:p>
        </w:tc>
      </w:tr>
      <w:tr w14:paraId="304FED02">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690" w:type="pct"/>
            <w:shd w:val="clear" w:color="auto" w:fill="auto"/>
            <w:vAlign w:val="center"/>
          </w:tcPr>
          <w:p w14:paraId="6368F420">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Fe(μg/ml)</w:t>
            </w:r>
          </w:p>
        </w:tc>
        <w:tc>
          <w:tcPr>
            <w:tcW w:w="1054" w:type="pct"/>
            <w:shd w:val="clear" w:color="auto" w:fill="auto"/>
            <w:noWrap/>
            <w:vAlign w:val="center"/>
          </w:tcPr>
          <w:p w14:paraId="01DA43C8">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305.645±215.506a</w:t>
            </w:r>
          </w:p>
        </w:tc>
        <w:tc>
          <w:tcPr>
            <w:tcW w:w="1125" w:type="pct"/>
            <w:shd w:val="clear" w:color="auto" w:fill="auto"/>
            <w:noWrap/>
            <w:vAlign w:val="center"/>
          </w:tcPr>
          <w:p w14:paraId="7D94E480">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425.115±201.834a</w:t>
            </w:r>
          </w:p>
        </w:tc>
        <w:tc>
          <w:tcPr>
            <w:tcW w:w="1066" w:type="pct"/>
            <w:shd w:val="clear" w:color="auto" w:fill="auto"/>
            <w:noWrap/>
            <w:vAlign w:val="center"/>
          </w:tcPr>
          <w:p w14:paraId="410C0F61">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566.876±58.392a</w:t>
            </w:r>
          </w:p>
        </w:tc>
        <w:tc>
          <w:tcPr>
            <w:tcW w:w="1065" w:type="pct"/>
            <w:shd w:val="clear" w:color="auto" w:fill="auto"/>
            <w:noWrap/>
            <w:vAlign w:val="center"/>
          </w:tcPr>
          <w:p w14:paraId="5857F967">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155.691±60.431b</w:t>
            </w:r>
          </w:p>
        </w:tc>
      </w:tr>
      <w:tr w14:paraId="2D529A3F">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690" w:type="pct"/>
            <w:shd w:val="clear" w:color="auto" w:fill="auto"/>
            <w:vAlign w:val="center"/>
          </w:tcPr>
          <w:p w14:paraId="5057BDCD">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Pb(μg/ml)</w:t>
            </w:r>
          </w:p>
        </w:tc>
        <w:tc>
          <w:tcPr>
            <w:tcW w:w="1054" w:type="pct"/>
            <w:shd w:val="clear" w:color="auto" w:fill="auto"/>
            <w:noWrap/>
            <w:vAlign w:val="center"/>
          </w:tcPr>
          <w:p w14:paraId="6EEF564C">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1.176±0.15a</w:t>
            </w:r>
          </w:p>
        </w:tc>
        <w:tc>
          <w:tcPr>
            <w:tcW w:w="1125" w:type="pct"/>
            <w:shd w:val="clear" w:color="auto" w:fill="auto"/>
            <w:noWrap/>
            <w:vAlign w:val="center"/>
          </w:tcPr>
          <w:p w14:paraId="3F95C993">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1.353±0.066a</w:t>
            </w:r>
          </w:p>
        </w:tc>
        <w:tc>
          <w:tcPr>
            <w:tcW w:w="1066" w:type="pct"/>
            <w:shd w:val="clear" w:color="auto" w:fill="auto"/>
            <w:noWrap/>
            <w:vAlign w:val="center"/>
          </w:tcPr>
          <w:p w14:paraId="6A6E5FC9">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1.212±0.262a</w:t>
            </w:r>
          </w:p>
        </w:tc>
        <w:tc>
          <w:tcPr>
            <w:tcW w:w="1065" w:type="pct"/>
            <w:shd w:val="clear" w:color="auto" w:fill="auto"/>
            <w:noWrap/>
            <w:vAlign w:val="center"/>
          </w:tcPr>
          <w:p w14:paraId="351F0482">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1.044±0.063a</w:t>
            </w:r>
          </w:p>
        </w:tc>
      </w:tr>
      <w:tr w14:paraId="37EFCC2F">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690" w:type="pct"/>
            <w:shd w:val="clear" w:color="auto" w:fill="auto"/>
            <w:vAlign w:val="center"/>
          </w:tcPr>
          <w:p w14:paraId="30A67ABD">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Zn(μg/ml)</w:t>
            </w:r>
          </w:p>
        </w:tc>
        <w:tc>
          <w:tcPr>
            <w:tcW w:w="1054" w:type="pct"/>
            <w:shd w:val="clear" w:color="auto" w:fill="auto"/>
            <w:noWrap/>
            <w:vAlign w:val="center"/>
          </w:tcPr>
          <w:p w14:paraId="463BD874">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4.035±0.75a</w:t>
            </w:r>
          </w:p>
        </w:tc>
        <w:tc>
          <w:tcPr>
            <w:tcW w:w="1125" w:type="pct"/>
            <w:shd w:val="clear" w:color="auto" w:fill="auto"/>
            <w:noWrap/>
            <w:vAlign w:val="center"/>
          </w:tcPr>
          <w:p w14:paraId="1C506364">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0.576±0.331b</w:t>
            </w:r>
          </w:p>
        </w:tc>
        <w:tc>
          <w:tcPr>
            <w:tcW w:w="1066" w:type="pct"/>
            <w:shd w:val="clear" w:color="auto" w:fill="auto"/>
            <w:noWrap/>
            <w:vAlign w:val="center"/>
          </w:tcPr>
          <w:p w14:paraId="27F111C7">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0.445±0.127b</w:t>
            </w:r>
          </w:p>
        </w:tc>
        <w:tc>
          <w:tcPr>
            <w:tcW w:w="1065" w:type="pct"/>
            <w:shd w:val="clear" w:color="auto" w:fill="auto"/>
            <w:noWrap/>
            <w:vAlign w:val="center"/>
          </w:tcPr>
          <w:p w14:paraId="6F259DE7">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0.667±0.224b</w:t>
            </w:r>
          </w:p>
        </w:tc>
      </w:tr>
      <w:tr w14:paraId="704615F2">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690" w:type="pct"/>
            <w:shd w:val="clear" w:color="auto" w:fill="auto"/>
            <w:vAlign w:val="center"/>
          </w:tcPr>
          <w:p w14:paraId="7E4C72A1">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Mg(μg/ml)</w:t>
            </w:r>
          </w:p>
        </w:tc>
        <w:tc>
          <w:tcPr>
            <w:tcW w:w="1054" w:type="pct"/>
            <w:shd w:val="clear" w:color="auto" w:fill="auto"/>
            <w:noWrap/>
            <w:vAlign w:val="center"/>
          </w:tcPr>
          <w:p w14:paraId="7A6639CD">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1.635±0.049a</w:t>
            </w:r>
          </w:p>
        </w:tc>
        <w:tc>
          <w:tcPr>
            <w:tcW w:w="1125" w:type="pct"/>
            <w:shd w:val="clear" w:color="auto" w:fill="auto"/>
            <w:noWrap/>
            <w:vAlign w:val="center"/>
          </w:tcPr>
          <w:p w14:paraId="5286E2A5">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1.573±0.023a</w:t>
            </w:r>
          </w:p>
        </w:tc>
        <w:tc>
          <w:tcPr>
            <w:tcW w:w="1066" w:type="pct"/>
            <w:shd w:val="clear" w:color="auto" w:fill="auto"/>
            <w:noWrap/>
            <w:vAlign w:val="center"/>
          </w:tcPr>
          <w:p w14:paraId="10960ED4">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1.48±0.085a</w:t>
            </w:r>
          </w:p>
        </w:tc>
        <w:tc>
          <w:tcPr>
            <w:tcW w:w="1065" w:type="pct"/>
            <w:shd w:val="clear" w:color="auto" w:fill="auto"/>
            <w:noWrap/>
            <w:vAlign w:val="center"/>
          </w:tcPr>
          <w:p w14:paraId="70935714">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1.477±0.049b</w:t>
            </w:r>
          </w:p>
        </w:tc>
      </w:tr>
      <w:tr w14:paraId="5D1C413C">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690" w:type="pct"/>
            <w:shd w:val="clear" w:color="auto" w:fill="auto"/>
            <w:vAlign w:val="center"/>
          </w:tcPr>
          <w:p w14:paraId="4E0AE2B5">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Mn(μg/ml)</w:t>
            </w:r>
          </w:p>
        </w:tc>
        <w:tc>
          <w:tcPr>
            <w:tcW w:w="1054" w:type="pct"/>
            <w:shd w:val="clear" w:color="auto" w:fill="auto"/>
            <w:noWrap/>
            <w:vAlign w:val="center"/>
          </w:tcPr>
          <w:p w14:paraId="114ED1B1">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0.821±0.214b</w:t>
            </w:r>
          </w:p>
        </w:tc>
        <w:tc>
          <w:tcPr>
            <w:tcW w:w="1125" w:type="pct"/>
            <w:shd w:val="clear" w:color="auto" w:fill="auto"/>
            <w:noWrap/>
            <w:vAlign w:val="center"/>
          </w:tcPr>
          <w:p w14:paraId="0943A46B">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0.58±0.123b</w:t>
            </w:r>
          </w:p>
        </w:tc>
        <w:tc>
          <w:tcPr>
            <w:tcW w:w="1066" w:type="pct"/>
            <w:shd w:val="clear" w:color="auto" w:fill="auto"/>
            <w:noWrap/>
            <w:vAlign w:val="center"/>
          </w:tcPr>
          <w:p w14:paraId="64B1D1B4">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1.078±0.659a</w:t>
            </w:r>
          </w:p>
        </w:tc>
        <w:tc>
          <w:tcPr>
            <w:tcW w:w="1065" w:type="pct"/>
            <w:shd w:val="clear" w:color="auto" w:fill="auto"/>
            <w:noWrap/>
            <w:vAlign w:val="center"/>
          </w:tcPr>
          <w:p w14:paraId="4B0287CC">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2.046±0.711a</w:t>
            </w:r>
          </w:p>
        </w:tc>
      </w:tr>
      <w:tr w14:paraId="48770E75">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690" w:type="pct"/>
            <w:shd w:val="clear" w:color="auto" w:fill="auto"/>
            <w:vAlign w:val="center"/>
          </w:tcPr>
          <w:p w14:paraId="55BF0465">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N(μg/ml)</w:t>
            </w:r>
          </w:p>
        </w:tc>
        <w:tc>
          <w:tcPr>
            <w:tcW w:w="1054" w:type="pct"/>
            <w:shd w:val="clear" w:color="auto" w:fill="auto"/>
            <w:noWrap/>
            <w:vAlign w:val="center"/>
          </w:tcPr>
          <w:p w14:paraId="1748FF43">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1.85±0.424a</w:t>
            </w:r>
          </w:p>
        </w:tc>
        <w:tc>
          <w:tcPr>
            <w:tcW w:w="1125" w:type="pct"/>
            <w:shd w:val="clear" w:color="auto" w:fill="auto"/>
            <w:noWrap/>
            <w:vAlign w:val="center"/>
          </w:tcPr>
          <w:p w14:paraId="6FB9D86C">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1.79±0.085a</w:t>
            </w:r>
          </w:p>
        </w:tc>
        <w:tc>
          <w:tcPr>
            <w:tcW w:w="1066" w:type="pct"/>
            <w:shd w:val="clear" w:color="auto" w:fill="auto"/>
            <w:noWrap/>
            <w:vAlign w:val="center"/>
          </w:tcPr>
          <w:p w14:paraId="626BB2F4">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2.06±0.071a</w:t>
            </w:r>
          </w:p>
        </w:tc>
        <w:tc>
          <w:tcPr>
            <w:tcW w:w="1065" w:type="pct"/>
            <w:shd w:val="clear" w:color="auto" w:fill="auto"/>
            <w:noWrap/>
            <w:vAlign w:val="center"/>
          </w:tcPr>
          <w:p w14:paraId="77D42D80">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2.12±0.057a</w:t>
            </w:r>
          </w:p>
        </w:tc>
      </w:tr>
      <w:tr w14:paraId="05D1452E">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690" w:type="pct"/>
            <w:shd w:val="clear" w:color="auto" w:fill="auto"/>
            <w:vAlign w:val="center"/>
          </w:tcPr>
          <w:p w14:paraId="5E7A9056">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P(μg/ml)</w:t>
            </w:r>
          </w:p>
        </w:tc>
        <w:tc>
          <w:tcPr>
            <w:tcW w:w="1054" w:type="pct"/>
            <w:shd w:val="clear" w:color="auto" w:fill="auto"/>
            <w:noWrap/>
            <w:vAlign w:val="center"/>
          </w:tcPr>
          <w:p w14:paraId="461259EE">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0.223±0.165a</w:t>
            </w:r>
          </w:p>
        </w:tc>
        <w:tc>
          <w:tcPr>
            <w:tcW w:w="1125" w:type="pct"/>
            <w:shd w:val="clear" w:color="auto" w:fill="auto"/>
            <w:noWrap/>
            <w:vAlign w:val="center"/>
          </w:tcPr>
          <w:p w14:paraId="63E71A0B">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0.382±0.045a</w:t>
            </w:r>
          </w:p>
        </w:tc>
        <w:tc>
          <w:tcPr>
            <w:tcW w:w="1066" w:type="pct"/>
            <w:shd w:val="clear" w:color="auto" w:fill="auto"/>
            <w:noWrap/>
            <w:vAlign w:val="center"/>
          </w:tcPr>
          <w:p w14:paraId="2975902F">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0.193±0.024a</w:t>
            </w:r>
          </w:p>
        </w:tc>
        <w:tc>
          <w:tcPr>
            <w:tcW w:w="1065" w:type="pct"/>
            <w:shd w:val="clear" w:color="auto" w:fill="auto"/>
            <w:noWrap/>
            <w:vAlign w:val="center"/>
          </w:tcPr>
          <w:p w14:paraId="79AC6E3A">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0.155±0.12a</w:t>
            </w:r>
          </w:p>
        </w:tc>
      </w:tr>
      <w:tr w14:paraId="0D1E8412">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690" w:type="pct"/>
            <w:tcBorders>
              <w:bottom w:val="single" w:color="auto" w:sz="8" w:space="0"/>
            </w:tcBorders>
            <w:shd w:val="clear" w:color="auto" w:fill="auto"/>
            <w:vAlign w:val="center"/>
          </w:tcPr>
          <w:p w14:paraId="51A0A31E">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K(μg/ml)</w:t>
            </w:r>
          </w:p>
        </w:tc>
        <w:tc>
          <w:tcPr>
            <w:tcW w:w="1054" w:type="pct"/>
            <w:tcBorders>
              <w:bottom w:val="single" w:color="auto" w:sz="8" w:space="0"/>
            </w:tcBorders>
            <w:shd w:val="clear" w:color="auto" w:fill="auto"/>
            <w:noWrap/>
            <w:vAlign w:val="center"/>
          </w:tcPr>
          <w:p w14:paraId="0AD74EA7">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0.24±0.057c</w:t>
            </w:r>
          </w:p>
        </w:tc>
        <w:tc>
          <w:tcPr>
            <w:tcW w:w="1125" w:type="pct"/>
            <w:tcBorders>
              <w:bottom w:val="single" w:color="auto" w:sz="8" w:space="0"/>
            </w:tcBorders>
            <w:shd w:val="clear" w:color="auto" w:fill="auto"/>
            <w:noWrap/>
            <w:vAlign w:val="center"/>
          </w:tcPr>
          <w:p w14:paraId="6FD3593B">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0.377±0.061d</w:t>
            </w:r>
          </w:p>
        </w:tc>
        <w:tc>
          <w:tcPr>
            <w:tcW w:w="1066" w:type="pct"/>
            <w:tcBorders>
              <w:bottom w:val="single" w:color="auto" w:sz="8" w:space="0"/>
            </w:tcBorders>
            <w:shd w:val="clear" w:color="auto" w:fill="auto"/>
            <w:noWrap/>
            <w:vAlign w:val="center"/>
          </w:tcPr>
          <w:p w14:paraId="525866A6">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0.591±0.011b</w:t>
            </w:r>
          </w:p>
        </w:tc>
        <w:tc>
          <w:tcPr>
            <w:tcW w:w="1065" w:type="pct"/>
            <w:tcBorders>
              <w:bottom w:val="single" w:color="auto" w:sz="8" w:space="0"/>
            </w:tcBorders>
            <w:shd w:val="clear" w:color="auto" w:fill="auto"/>
            <w:noWrap/>
            <w:vAlign w:val="center"/>
          </w:tcPr>
          <w:p w14:paraId="32FE0AA9">
            <w:pPr>
              <w:widowControl/>
              <w:adjustRightInd w:val="0"/>
              <w:spacing w:line="360" w:lineRule="auto"/>
              <w:jc w:val="center"/>
              <w:rPr>
                <w:rFonts w:ascii="Times New Roman" w:hAnsi="Times New Roman" w:eastAsia="宋体" w:cs="Times New Roman"/>
                <w:color w:val="000000"/>
                <w:kern w:val="0"/>
                <w:szCs w:val="18"/>
              </w:rPr>
            </w:pPr>
            <w:r>
              <w:rPr>
                <w:rFonts w:ascii="Times New Roman" w:hAnsi="Times New Roman" w:eastAsia="宋体" w:cs="Times New Roman"/>
                <w:color w:val="000000"/>
                <w:kern w:val="0"/>
                <w:szCs w:val="18"/>
              </w:rPr>
              <w:t>0.329±0.03a</w:t>
            </w:r>
          </w:p>
        </w:tc>
      </w:tr>
    </w:tbl>
    <w:p w14:paraId="07F0F2D0">
      <w:pPr>
        <w:widowControl/>
        <w:spacing w:line="360" w:lineRule="auto"/>
        <w:ind w:firstLine="480" w:firstLineChars="200"/>
        <w:rPr>
          <w:rFonts w:ascii="Times New Roman" w:hAnsi="Times New Roman" w:eastAsia="宋体" w:cs="Times New Roman"/>
          <w:color w:val="000000"/>
          <w:kern w:val="0"/>
          <w:sz w:val="24"/>
          <w:szCs w:val="21"/>
        </w:rPr>
      </w:pPr>
      <w:r>
        <w:rPr>
          <w:rFonts w:hint="eastAsia" w:ascii="Times New Roman" w:hAnsi="Times New Roman" w:eastAsia="宋体" w:cs="Times New Roman"/>
          <w:color w:val="000000"/>
          <w:kern w:val="0"/>
          <w:sz w:val="24"/>
          <w:szCs w:val="21"/>
        </w:rPr>
        <w:t>注：每行不同的小写字母表示各化学成分差异显著</w:t>
      </w:r>
      <w:r>
        <w:rPr>
          <w:rFonts w:ascii="Times New Roman" w:hAnsi="Times New Roman" w:eastAsia="宋体" w:cs="Times New Roman"/>
          <w:color w:val="000000"/>
          <w:kern w:val="0"/>
          <w:sz w:val="24"/>
          <w:szCs w:val="21"/>
        </w:rPr>
        <w:t>(</w:t>
      </w:r>
      <w:r>
        <w:rPr>
          <w:rFonts w:ascii="Times New Roman" w:hAnsi="Times New Roman" w:eastAsia="宋体" w:cs="Times New Roman"/>
          <w:i/>
          <w:color w:val="000000"/>
          <w:kern w:val="0"/>
          <w:sz w:val="24"/>
          <w:szCs w:val="21"/>
        </w:rPr>
        <w:t>P</w:t>
      </w:r>
      <w:r>
        <w:rPr>
          <w:rFonts w:ascii="Times New Roman" w:hAnsi="Times New Roman" w:eastAsia="宋体" w:cs="Times New Roman"/>
          <w:color w:val="000000"/>
          <w:kern w:val="0"/>
          <w:sz w:val="24"/>
          <w:szCs w:val="21"/>
        </w:rPr>
        <w:t>&lt;0.05)</w:t>
      </w:r>
      <w:r>
        <w:rPr>
          <w:rFonts w:hint="eastAsia" w:ascii="Times New Roman" w:hAnsi="Times New Roman" w:eastAsia="宋体" w:cs="Times New Roman"/>
          <w:color w:val="000000"/>
          <w:kern w:val="0"/>
          <w:sz w:val="24"/>
          <w:szCs w:val="21"/>
        </w:rPr>
        <w:t>。</w:t>
      </w:r>
    </w:p>
    <w:p w14:paraId="2C6E9B63">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程亚楠等《不同来源多花黄精多糖的结构特性及抗氧化活性比较》（食品科学，）</w:t>
      </w:r>
      <w:r>
        <w:rPr>
          <w:rFonts w:ascii="Times New Roman" w:hAnsi="Times New Roman" w:eastAsia="宋体" w:cs="Times New Roman"/>
          <w:sz w:val="24"/>
          <w:szCs w:val="24"/>
        </w:rPr>
        <w:t>以五种不同来源多花黄精为原料，通过水提醇沉法制备黄精多糖，利用离子色谱、高效凝胶渗透色谱、傅里叶红外变换光谱、X-射线衍射仪和扫描电镜等技术研究其结构性质，并评价其抗氧化活性。结果表明，五种多花黄精的多糖含量在7.63%~16.78%</w:t>
      </w:r>
      <w:r>
        <w:rPr>
          <w:rFonts w:hint="eastAsia" w:ascii="Times New Roman" w:hAnsi="Times New Roman" w:eastAsia="宋体" w:cs="Times New Roman"/>
          <w:sz w:val="24"/>
          <w:szCs w:val="24"/>
        </w:rPr>
        <w:t>质量分数范围内，相互间有显著性差异（</w:t>
      </w:r>
      <w:r>
        <w:rPr>
          <w:rFonts w:ascii="Times New Roman" w:hAnsi="Times New Roman" w:eastAsia="宋体" w:cs="Times New Roman"/>
          <w:sz w:val="24"/>
          <w:szCs w:val="24"/>
        </w:rPr>
        <w:t>p&lt;0.05），且产自江西铜鼓的黄精多糖含量最高（16.78%）；五种多花黄精多糖均为杂多糖，单糖组成以果糖为主。红外光谱表明五种多花黄精多糖均具有典型糖类吸收峰，含有α-糖苷键和β-糖苷键；其微观形貌主要呈不规则片状或多孔片状结构。抗氧化活性实验显示，五种多花黄精多糖具有一定抗氧化能力，在2~10 mg/mL的浓度范围内对1,1-二苯基-2-苦基肼自由基和羟自由基清除能力呈一定的剂量依赖性，其中江西铜鼓、江西安福来源的多花黄精多糖的抗氧化活性最好。本研究反映了不同来源多花黄精多糖的结构特性和自由基清除能力差异，</w:t>
      </w:r>
    </w:p>
    <w:p w14:paraId="044B9FF4">
      <w:pPr>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表</w:t>
      </w:r>
      <w:r>
        <w:rPr>
          <w:rFonts w:ascii="Times New Roman" w:hAnsi="Times New Roman" w:eastAsia="宋体" w:cs="Times New Roman"/>
          <w:sz w:val="24"/>
          <w:szCs w:val="24"/>
        </w:rPr>
        <w:t xml:space="preserve">2 </w:t>
      </w:r>
      <w:r>
        <w:rPr>
          <w:rFonts w:hint="eastAsia" w:ascii="Times New Roman" w:hAnsi="Times New Roman" w:eastAsia="宋体" w:cs="Times New Roman"/>
          <w:sz w:val="24"/>
          <w:szCs w:val="24"/>
        </w:rPr>
        <w:t>不同来源多花黄精多糖含量比较</w:t>
      </w:r>
    </w:p>
    <w:p w14:paraId="27AC5F1E">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Table 2 Comparison of polysaccharide content in different Polygonatum cyrtonema</w:t>
      </w:r>
    </w:p>
    <w:tbl>
      <w:tblPr>
        <w:tblStyle w:val="27"/>
        <w:tblW w:w="79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869"/>
        <w:gridCol w:w="4051"/>
      </w:tblGrid>
      <w:tr w14:paraId="4FB07F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4" w:hRule="atLeast"/>
          <w:jc w:val="center"/>
        </w:trPr>
        <w:tc>
          <w:tcPr>
            <w:tcW w:w="3869" w:type="dxa"/>
            <w:tcBorders>
              <w:top w:val="single" w:color="000000" w:sz="12" w:space="0"/>
              <w:left w:val="nil"/>
              <w:bottom w:val="single" w:color="000000" w:sz="6" w:space="0"/>
              <w:right w:val="nil"/>
            </w:tcBorders>
            <w:vAlign w:val="center"/>
          </w:tcPr>
          <w:p w14:paraId="6C957357">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黄精样品</w:t>
            </w:r>
          </w:p>
        </w:tc>
        <w:tc>
          <w:tcPr>
            <w:tcW w:w="4051" w:type="dxa"/>
            <w:tcBorders>
              <w:top w:val="single" w:color="000000" w:sz="12" w:space="0"/>
              <w:left w:val="nil"/>
              <w:bottom w:val="single" w:color="000000" w:sz="6" w:space="0"/>
              <w:right w:val="nil"/>
            </w:tcBorders>
            <w:vAlign w:val="center"/>
          </w:tcPr>
          <w:p w14:paraId="0B741B1A">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多糖含量/（%）</w:t>
            </w:r>
          </w:p>
        </w:tc>
      </w:tr>
      <w:tr w14:paraId="72020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4" w:hRule="atLeast"/>
          <w:jc w:val="center"/>
        </w:trPr>
        <w:tc>
          <w:tcPr>
            <w:tcW w:w="3869" w:type="dxa"/>
            <w:tcBorders>
              <w:top w:val="single" w:color="000000" w:sz="6" w:space="0"/>
              <w:left w:val="nil"/>
              <w:bottom w:val="nil"/>
              <w:right w:val="nil"/>
            </w:tcBorders>
            <w:vAlign w:val="center"/>
          </w:tcPr>
          <w:p w14:paraId="79B76E85">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T-PCH</w:t>
            </w:r>
          </w:p>
        </w:tc>
        <w:tc>
          <w:tcPr>
            <w:tcW w:w="4051" w:type="dxa"/>
            <w:tcBorders>
              <w:top w:val="single" w:color="000000" w:sz="6" w:space="0"/>
              <w:left w:val="nil"/>
              <w:bottom w:val="nil"/>
              <w:right w:val="nil"/>
            </w:tcBorders>
            <w:vAlign w:val="center"/>
          </w:tcPr>
          <w:p w14:paraId="248FDB27">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16.78±0.32a</w:t>
            </w:r>
          </w:p>
        </w:tc>
      </w:tr>
      <w:tr w14:paraId="3C00A9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4" w:hRule="atLeast"/>
          <w:jc w:val="center"/>
        </w:trPr>
        <w:tc>
          <w:tcPr>
            <w:tcW w:w="3869" w:type="dxa"/>
            <w:tcBorders>
              <w:top w:val="nil"/>
              <w:left w:val="nil"/>
              <w:bottom w:val="nil"/>
              <w:right w:val="nil"/>
            </w:tcBorders>
            <w:vAlign w:val="center"/>
          </w:tcPr>
          <w:p w14:paraId="067A6D9F">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J-PCH</w:t>
            </w:r>
          </w:p>
        </w:tc>
        <w:tc>
          <w:tcPr>
            <w:tcW w:w="4051" w:type="dxa"/>
            <w:tcBorders>
              <w:top w:val="nil"/>
              <w:left w:val="nil"/>
              <w:bottom w:val="nil"/>
              <w:right w:val="nil"/>
            </w:tcBorders>
            <w:vAlign w:val="center"/>
          </w:tcPr>
          <w:p w14:paraId="529451EE">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7.63±0.17e</w:t>
            </w:r>
          </w:p>
        </w:tc>
      </w:tr>
      <w:tr w14:paraId="5654B3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4" w:hRule="atLeast"/>
          <w:jc w:val="center"/>
        </w:trPr>
        <w:tc>
          <w:tcPr>
            <w:tcW w:w="3869" w:type="dxa"/>
            <w:tcBorders>
              <w:top w:val="nil"/>
              <w:left w:val="nil"/>
              <w:bottom w:val="nil"/>
              <w:right w:val="nil"/>
            </w:tcBorders>
            <w:vAlign w:val="center"/>
          </w:tcPr>
          <w:p w14:paraId="7FA54713">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H-PCH</w:t>
            </w:r>
          </w:p>
        </w:tc>
        <w:tc>
          <w:tcPr>
            <w:tcW w:w="4051" w:type="dxa"/>
            <w:tcBorders>
              <w:top w:val="nil"/>
              <w:left w:val="nil"/>
              <w:bottom w:val="nil"/>
              <w:right w:val="nil"/>
            </w:tcBorders>
            <w:vAlign w:val="center"/>
          </w:tcPr>
          <w:p w14:paraId="3369E71D">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8.32±0.11d</w:t>
            </w:r>
          </w:p>
        </w:tc>
      </w:tr>
      <w:tr w14:paraId="4AD232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4" w:hRule="atLeast"/>
          <w:jc w:val="center"/>
        </w:trPr>
        <w:tc>
          <w:tcPr>
            <w:tcW w:w="3869" w:type="dxa"/>
            <w:tcBorders>
              <w:top w:val="nil"/>
              <w:left w:val="nil"/>
              <w:bottom w:val="nil"/>
              <w:right w:val="nil"/>
            </w:tcBorders>
            <w:vAlign w:val="center"/>
          </w:tcPr>
          <w:p w14:paraId="089ED137">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A-PCH-W</w:t>
            </w:r>
          </w:p>
        </w:tc>
        <w:tc>
          <w:tcPr>
            <w:tcW w:w="4051" w:type="dxa"/>
            <w:tcBorders>
              <w:top w:val="nil"/>
              <w:left w:val="nil"/>
              <w:bottom w:val="nil"/>
              <w:right w:val="nil"/>
            </w:tcBorders>
            <w:vAlign w:val="center"/>
          </w:tcPr>
          <w:p w14:paraId="198FA10E">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13.23±0.03b</w:t>
            </w:r>
          </w:p>
        </w:tc>
      </w:tr>
      <w:tr w14:paraId="68E7A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4" w:hRule="atLeast"/>
          <w:jc w:val="center"/>
        </w:trPr>
        <w:tc>
          <w:tcPr>
            <w:tcW w:w="3869" w:type="dxa"/>
            <w:tcBorders>
              <w:top w:val="nil"/>
              <w:left w:val="nil"/>
              <w:bottom w:val="single" w:color="000000" w:sz="12" w:space="0"/>
              <w:right w:val="nil"/>
            </w:tcBorders>
            <w:vAlign w:val="center"/>
          </w:tcPr>
          <w:p w14:paraId="745BEF93">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A-PCH-N</w:t>
            </w:r>
          </w:p>
        </w:tc>
        <w:tc>
          <w:tcPr>
            <w:tcW w:w="4051" w:type="dxa"/>
            <w:tcBorders>
              <w:top w:val="nil"/>
              <w:left w:val="nil"/>
              <w:bottom w:val="single" w:color="000000" w:sz="12" w:space="0"/>
              <w:right w:val="nil"/>
            </w:tcBorders>
            <w:vAlign w:val="center"/>
          </w:tcPr>
          <w:p w14:paraId="3BE32B05">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9.63±0.05c</w:t>
            </w:r>
          </w:p>
        </w:tc>
      </w:tr>
    </w:tbl>
    <w:p w14:paraId="41242C12">
      <w:pPr>
        <w:widowControl/>
        <w:shd w:val="clear" w:color="auto" w:fill="FFFFFF"/>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而斯金平等（《新兴林粮</w:t>
      </w:r>
      <w:r>
        <w:rPr>
          <w:rFonts w:ascii="Times New Roman" w:hAnsi="Times New Roman" w:eastAsia="宋体" w:cs="Times New Roman"/>
          <w:sz w:val="24"/>
          <w:szCs w:val="24"/>
        </w:rPr>
        <w:t>——黄精产业发展战略研究， 中国工程院院刊《中国工程科学》2024年第2期）中</w:t>
      </w:r>
      <w:r>
        <w:rPr>
          <w:rFonts w:hint="eastAsia" w:ascii="Times New Roman" w:hAnsi="Times New Roman" w:eastAsia="宋体" w:cs="Times New Roman"/>
          <w:sz w:val="24"/>
          <w:szCs w:val="24"/>
        </w:rPr>
        <w:t>“</w:t>
      </w:r>
      <w:r>
        <w:rPr>
          <w:rFonts w:ascii="Times New Roman" w:hAnsi="Times New Roman" w:eastAsia="宋体" w:cs="Times New Roman"/>
          <w:sz w:val="24"/>
          <w:szCs w:val="24"/>
        </w:rPr>
        <w:t>黄精林粮的物质基础“）显示：</w:t>
      </w:r>
      <w:r>
        <w:rPr>
          <w:rFonts w:hint="eastAsia" w:ascii="Times New Roman" w:hAnsi="Times New Roman" w:eastAsia="宋体" w:cs="Times New Roman"/>
          <w:sz w:val="24"/>
          <w:szCs w:val="24"/>
        </w:rPr>
        <w:t>作为食用的物质基础有：</w:t>
      </w:r>
      <w:r>
        <w:rPr>
          <w:rFonts w:ascii="Times New Roman" w:hAnsi="Times New Roman" w:eastAsia="宋体" w:cs="Times New Roman"/>
          <w:sz w:val="24"/>
          <w:szCs w:val="24"/>
        </w:rPr>
        <w:t>黄精根茎中碳水化合物主要为果聚糖。现有的观点普遍认为菊粉（有葡萄糖末端的β-2,1连接的果糖聚合物）是果聚糖的代表并被作为膳食纤维的代表。黄精果聚糖是一类包含低聚合度与高聚合度、结构复杂的果聚糖（以β-2,1和β-2,6键连接果糖基单元并具有内部葡萄糖残基的果糖聚合物）。黄精适当加热能降解产生约30%的低聚果糖，约38%的果糖，除具有膳食纤维功能外，更是一种低热量、营养全面的食物。</w:t>
      </w:r>
    </w:p>
    <w:p w14:paraId="4C76B20F">
      <w:pPr>
        <w:widowControl/>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蛋白质也是黄精根茎的主要营养成分之一，含量为6.7%~11.6%，与主要粮食作物相当，含有8种必需氨基酸，且精氨酸、亮氨酸、苏氨酸、甘氨酸和赖氨酸含量较高。黄精根茎中含有一定的脂肪，多花黄精生品脂肪含量为1.2%，制品为0.8%，与大米（0.9%）、土豆（0.5%）、地瓜（0.8%）含量相当。黄精根茎中含有丰富的矿质元素，常量元素Ca为4.7 mg/g，P为2.6 mg/g，K为4.2 mg/g，Na为0.02 mg/g，Mg为0.62 mg/g，Fe为0.12 mg/g》。</w:t>
      </w:r>
    </w:p>
    <w:p w14:paraId="6F46E3A8">
      <w:pPr>
        <w:widowControl/>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黄精中的次生代谢物主要包括皂苷、黄酮和生物碱等。其中甾体皂苷总含量为2.73%~5.01%，三萜皂苷总含量为1.3%~5.0%。目前国内外已从黄精属植物分离得到的甾体皂苷124个、三萜皂苷21个。黄精根茎中总黄酮含量为0.13%~0.19%，分离得到黄酮27种，主要类型有黄酮类、黄酮醇类、二氢黄酮类、异黄酮类和高异黄酮类。黄精根茎还含有一定的生物碱，主要为吲哚嗪类生物碱和酰胺类生物碱。黄精不仅营养多元，而且食用安全。2000多年来，历代本草均记载宜久服，《本草品汇精要》将其列为上品之上、草部第一，未见不宜人群报道。研究表明，对黄精属植物的急性毒性（64.5 g/kg）、慢性毒性6个月试验（51.6 g/kg），没有出现动物异常体征或死亡；遗传毒性也没有在小鼠的艾姆斯（Ames）试验、骨髓微核试验和精子畸形试验中发现。</w:t>
      </w:r>
    </w:p>
    <w:p w14:paraId="3C9AD22D">
      <w:pPr>
        <w:widowControl/>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我们还对12</w:t>
      </w:r>
      <w:r>
        <w:rPr>
          <w:rFonts w:hint="eastAsia" w:ascii="Times New Roman" w:hAnsi="Times New Roman" w:eastAsia="宋体" w:cs="Times New Roman"/>
          <w:sz w:val="24"/>
          <w:szCs w:val="24"/>
        </w:rPr>
        <w:t>个批次的来源的黄总的不同生长年限的多糖及总皂苷含量进行了测定。</w:t>
      </w:r>
      <w:r>
        <w:rPr>
          <w:rFonts w:ascii="Times New Roman" w:hAnsi="Times New Roman" w:eastAsia="宋体" w:cs="Times New Roman"/>
          <w:sz w:val="24"/>
          <w:szCs w:val="24"/>
        </w:rPr>
        <w:t>12</w:t>
      </w:r>
      <w:r>
        <w:rPr>
          <w:rFonts w:hint="eastAsia" w:ascii="Times New Roman" w:hAnsi="Times New Roman" w:eastAsia="宋体" w:cs="Times New Roman"/>
          <w:sz w:val="24"/>
          <w:szCs w:val="24"/>
        </w:rPr>
        <w:t>批次有</w:t>
      </w:r>
      <w:r>
        <w:rPr>
          <w:rFonts w:ascii="Times New Roman" w:hAnsi="Times New Roman" w:eastAsia="宋体" w:cs="Times New Roman"/>
          <w:sz w:val="24"/>
          <w:szCs w:val="24"/>
        </w:rPr>
        <w:t>2</w:t>
      </w:r>
      <w:r>
        <w:rPr>
          <w:rFonts w:hint="eastAsia" w:ascii="Times New Roman" w:hAnsi="Times New Roman" w:eastAsia="宋体" w:cs="Times New Roman"/>
          <w:sz w:val="24"/>
          <w:szCs w:val="24"/>
        </w:rPr>
        <w:t>批次为不符合药典的多糖</w:t>
      </w:r>
      <w:r>
        <w:rPr>
          <w:rFonts w:ascii="Times New Roman" w:hAnsi="Times New Roman" w:eastAsia="宋体" w:cs="Times New Roman"/>
          <w:sz w:val="24"/>
          <w:szCs w:val="24"/>
        </w:rPr>
        <w:t>7.0%</w:t>
      </w:r>
      <w:r>
        <w:rPr>
          <w:rFonts w:hint="eastAsia" w:ascii="Times New Roman" w:hAnsi="Times New Roman" w:eastAsia="宋体" w:cs="Times New Roman"/>
          <w:sz w:val="24"/>
          <w:szCs w:val="24"/>
        </w:rPr>
        <w:t>的要求。其余均在</w:t>
      </w:r>
      <w:r>
        <w:rPr>
          <w:rFonts w:ascii="Times New Roman" w:hAnsi="Times New Roman" w:eastAsia="宋体" w:cs="Times New Roman"/>
          <w:sz w:val="24"/>
          <w:szCs w:val="24"/>
        </w:rPr>
        <w:t>7.3%</w:t>
      </w:r>
      <w:r>
        <w:rPr>
          <w:rFonts w:hint="eastAsia" w:ascii="Times New Roman" w:hAnsi="Times New Roman" w:eastAsia="宋体" w:cs="Times New Roman"/>
          <w:sz w:val="24"/>
          <w:szCs w:val="24"/>
        </w:rPr>
        <w:t>以上。对</w:t>
      </w:r>
      <w:r>
        <w:rPr>
          <w:rFonts w:ascii="Times New Roman" w:hAnsi="Times New Roman" w:eastAsia="宋体" w:cs="Times New Roman"/>
          <w:sz w:val="24"/>
          <w:szCs w:val="24"/>
        </w:rPr>
        <w:t>2</w:t>
      </w:r>
      <w:r>
        <w:rPr>
          <w:rFonts w:hint="eastAsia" w:ascii="Times New Roman" w:hAnsi="Times New Roman" w:eastAsia="宋体" w:cs="Times New Roman"/>
          <w:sz w:val="24"/>
          <w:szCs w:val="24"/>
        </w:rPr>
        <w:t>个不合格的样品进行的测定表明：其皂苷含量表现却不错。这与许多文献</w:t>
      </w:r>
    </w:p>
    <w:tbl>
      <w:tblPr>
        <w:tblStyle w:val="27"/>
        <w:tblW w:w="8374" w:type="dxa"/>
        <w:jc w:val="center"/>
        <w:tblLayout w:type="autofit"/>
        <w:tblCellMar>
          <w:top w:w="0" w:type="dxa"/>
          <w:left w:w="108" w:type="dxa"/>
          <w:bottom w:w="0" w:type="dxa"/>
          <w:right w:w="108" w:type="dxa"/>
        </w:tblCellMar>
      </w:tblPr>
      <w:tblGrid>
        <w:gridCol w:w="1144"/>
        <w:gridCol w:w="1676"/>
        <w:gridCol w:w="1585"/>
        <w:gridCol w:w="1417"/>
        <w:gridCol w:w="1276"/>
        <w:gridCol w:w="1276"/>
      </w:tblGrid>
      <w:tr w14:paraId="51B9EB04">
        <w:tblPrEx>
          <w:tblCellMar>
            <w:top w:w="0" w:type="dxa"/>
            <w:left w:w="108" w:type="dxa"/>
            <w:bottom w:w="0" w:type="dxa"/>
            <w:right w:w="108" w:type="dxa"/>
          </w:tblCellMar>
        </w:tblPrEx>
        <w:trPr>
          <w:trHeight w:val="696" w:hRule="atLeast"/>
          <w:jc w:val="center"/>
        </w:trPr>
        <w:tc>
          <w:tcPr>
            <w:tcW w:w="1144" w:type="dxa"/>
            <w:tcBorders>
              <w:top w:val="single" w:color="000000" w:sz="12" w:space="0"/>
              <w:left w:val="nil"/>
              <w:bottom w:val="single" w:color="000000" w:sz="4" w:space="0"/>
              <w:right w:val="nil"/>
              <w:tl2br w:val="nil"/>
            </w:tcBorders>
            <w:shd w:val="clear" w:color="auto" w:fill="FFFFFF"/>
            <w:vAlign w:val="center"/>
          </w:tcPr>
          <w:p w14:paraId="64174953">
            <w:pPr>
              <w:widowControl/>
              <w:spacing w:line="360" w:lineRule="auto"/>
              <w:jc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序号</w:t>
            </w:r>
          </w:p>
        </w:tc>
        <w:tc>
          <w:tcPr>
            <w:tcW w:w="1676" w:type="dxa"/>
            <w:tcBorders>
              <w:top w:val="single" w:color="000000" w:sz="12" w:space="0"/>
              <w:left w:val="nil"/>
              <w:bottom w:val="single" w:color="000000" w:sz="4" w:space="0"/>
              <w:right w:val="nil"/>
            </w:tcBorders>
            <w:shd w:val="clear" w:color="auto" w:fill="FFFFFF"/>
            <w:vAlign w:val="center"/>
          </w:tcPr>
          <w:p w14:paraId="22543279">
            <w:pPr>
              <w:widowControl/>
              <w:spacing w:line="360" w:lineRule="auto"/>
              <w:jc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来源</w:t>
            </w:r>
          </w:p>
        </w:tc>
        <w:tc>
          <w:tcPr>
            <w:tcW w:w="1585" w:type="dxa"/>
            <w:tcBorders>
              <w:top w:val="single" w:color="000000" w:sz="12" w:space="0"/>
              <w:left w:val="nil"/>
              <w:bottom w:val="single" w:color="000000" w:sz="4" w:space="0"/>
              <w:right w:val="nil"/>
            </w:tcBorders>
            <w:shd w:val="clear" w:color="auto" w:fill="FFFFFF"/>
            <w:vAlign w:val="center"/>
          </w:tcPr>
          <w:p w14:paraId="2EB5AA09">
            <w:pPr>
              <w:widowControl/>
              <w:spacing w:line="360" w:lineRule="auto"/>
              <w:jc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品种</w:t>
            </w:r>
          </w:p>
        </w:tc>
        <w:tc>
          <w:tcPr>
            <w:tcW w:w="1417" w:type="dxa"/>
            <w:tcBorders>
              <w:top w:val="single" w:color="000000" w:sz="12" w:space="0"/>
              <w:left w:val="nil"/>
              <w:bottom w:val="single" w:color="000000" w:sz="4" w:space="0"/>
              <w:right w:val="nil"/>
            </w:tcBorders>
            <w:shd w:val="clear" w:color="auto" w:fill="FFFFFF"/>
            <w:vAlign w:val="center"/>
          </w:tcPr>
          <w:p w14:paraId="524D3F4B">
            <w:pPr>
              <w:widowControl/>
              <w:spacing w:line="360" w:lineRule="auto"/>
              <w:jc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生长年限</w:t>
            </w:r>
          </w:p>
        </w:tc>
        <w:tc>
          <w:tcPr>
            <w:tcW w:w="1276" w:type="dxa"/>
            <w:tcBorders>
              <w:top w:val="single" w:color="000000" w:sz="12" w:space="0"/>
              <w:left w:val="nil"/>
              <w:bottom w:val="single" w:color="000000" w:sz="4" w:space="0"/>
              <w:right w:val="nil"/>
            </w:tcBorders>
            <w:shd w:val="clear" w:color="auto" w:fill="FFFFFF"/>
            <w:vAlign w:val="center"/>
          </w:tcPr>
          <w:p w14:paraId="0AFE0D25">
            <w:pPr>
              <w:widowControl/>
              <w:spacing w:line="360" w:lineRule="auto"/>
              <w:jc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多糖</w:t>
            </w:r>
            <w:r>
              <w:rPr>
                <w:rFonts w:ascii="Times New Roman" w:hAnsi="Times New Roman" w:eastAsia="宋体" w:cs="Times New Roman"/>
                <w:color w:val="000000"/>
                <w:kern w:val="0"/>
                <w:szCs w:val="21"/>
              </w:rPr>
              <w:t>%</w:t>
            </w:r>
          </w:p>
        </w:tc>
        <w:tc>
          <w:tcPr>
            <w:tcW w:w="1276" w:type="dxa"/>
            <w:tcBorders>
              <w:top w:val="single" w:color="000000" w:sz="12" w:space="0"/>
              <w:left w:val="nil"/>
              <w:bottom w:val="single" w:color="000000" w:sz="4" w:space="0"/>
              <w:right w:val="nil"/>
            </w:tcBorders>
            <w:shd w:val="clear" w:color="auto" w:fill="FFFFFF"/>
            <w:vAlign w:val="center"/>
          </w:tcPr>
          <w:p w14:paraId="09A3185B">
            <w:pPr>
              <w:widowControl/>
              <w:spacing w:line="360" w:lineRule="auto"/>
              <w:jc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总皂苷</w:t>
            </w:r>
            <w:r>
              <w:rPr>
                <w:rFonts w:ascii="Times New Roman" w:hAnsi="Times New Roman" w:eastAsia="宋体" w:cs="Times New Roman"/>
                <w:color w:val="000000"/>
                <w:kern w:val="0"/>
                <w:szCs w:val="21"/>
              </w:rPr>
              <w:t>%</w:t>
            </w:r>
          </w:p>
        </w:tc>
      </w:tr>
      <w:tr w14:paraId="6895E315">
        <w:tblPrEx>
          <w:tblCellMar>
            <w:top w:w="0" w:type="dxa"/>
            <w:left w:w="108" w:type="dxa"/>
            <w:bottom w:w="0" w:type="dxa"/>
            <w:right w:w="108" w:type="dxa"/>
          </w:tblCellMar>
        </w:tblPrEx>
        <w:trPr>
          <w:trHeight w:val="360" w:hRule="atLeast"/>
          <w:jc w:val="center"/>
        </w:trPr>
        <w:tc>
          <w:tcPr>
            <w:tcW w:w="1144" w:type="dxa"/>
            <w:tcBorders>
              <w:top w:val="single" w:color="000000" w:sz="4" w:space="0"/>
              <w:left w:val="nil"/>
              <w:bottom w:val="nil"/>
              <w:right w:val="nil"/>
            </w:tcBorders>
            <w:shd w:val="clear" w:color="auto" w:fill="FFFFFF"/>
            <w:vAlign w:val="center"/>
          </w:tcPr>
          <w:p w14:paraId="6811F17C">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w:t>
            </w:r>
          </w:p>
        </w:tc>
        <w:tc>
          <w:tcPr>
            <w:tcW w:w="1676" w:type="dxa"/>
            <w:tcBorders>
              <w:top w:val="single" w:color="000000" w:sz="4" w:space="0"/>
              <w:left w:val="nil"/>
              <w:bottom w:val="nil"/>
              <w:right w:val="nil"/>
            </w:tcBorders>
            <w:shd w:val="clear" w:color="auto" w:fill="FFFFFF"/>
            <w:noWrap/>
            <w:vAlign w:val="center"/>
          </w:tcPr>
          <w:p w14:paraId="031C17FE">
            <w:pPr>
              <w:widowControl/>
              <w:spacing w:line="360" w:lineRule="auto"/>
              <w:jc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遂昌</w:t>
            </w:r>
          </w:p>
        </w:tc>
        <w:tc>
          <w:tcPr>
            <w:tcW w:w="1585" w:type="dxa"/>
            <w:tcBorders>
              <w:top w:val="single" w:color="000000" w:sz="4" w:space="0"/>
              <w:left w:val="nil"/>
              <w:bottom w:val="nil"/>
              <w:right w:val="nil"/>
            </w:tcBorders>
            <w:shd w:val="clear" w:color="auto" w:fill="FFFFFF"/>
            <w:noWrap/>
            <w:vAlign w:val="center"/>
          </w:tcPr>
          <w:p w14:paraId="12F6C881">
            <w:pPr>
              <w:widowControl/>
              <w:spacing w:line="360" w:lineRule="auto"/>
              <w:jc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多花黄精</w:t>
            </w:r>
          </w:p>
        </w:tc>
        <w:tc>
          <w:tcPr>
            <w:tcW w:w="1417" w:type="dxa"/>
            <w:tcBorders>
              <w:top w:val="single" w:color="000000" w:sz="4" w:space="0"/>
              <w:left w:val="nil"/>
              <w:bottom w:val="nil"/>
              <w:right w:val="nil"/>
            </w:tcBorders>
            <w:shd w:val="clear" w:color="auto" w:fill="FFFFFF"/>
            <w:noWrap/>
            <w:vAlign w:val="center"/>
          </w:tcPr>
          <w:p w14:paraId="7BCFF313">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w:t>
            </w:r>
          </w:p>
        </w:tc>
        <w:tc>
          <w:tcPr>
            <w:tcW w:w="1276" w:type="dxa"/>
            <w:tcBorders>
              <w:top w:val="single" w:color="000000" w:sz="4" w:space="0"/>
              <w:left w:val="nil"/>
              <w:bottom w:val="nil"/>
              <w:right w:val="nil"/>
            </w:tcBorders>
            <w:shd w:val="clear" w:color="auto" w:fill="FFFFFF"/>
            <w:vAlign w:val="center"/>
          </w:tcPr>
          <w:p w14:paraId="0D2286D4">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8.09</w:t>
            </w:r>
          </w:p>
        </w:tc>
        <w:tc>
          <w:tcPr>
            <w:tcW w:w="1276" w:type="dxa"/>
            <w:tcBorders>
              <w:top w:val="single" w:color="000000" w:sz="4" w:space="0"/>
              <w:left w:val="nil"/>
              <w:bottom w:val="nil"/>
              <w:right w:val="nil"/>
            </w:tcBorders>
            <w:shd w:val="clear" w:color="auto" w:fill="FFFFFF"/>
            <w:noWrap/>
            <w:vAlign w:val="center"/>
          </w:tcPr>
          <w:p w14:paraId="1AA8193D">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1.04</w:t>
            </w:r>
          </w:p>
        </w:tc>
      </w:tr>
      <w:tr w14:paraId="3FEC235D">
        <w:tblPrEx>
          <w:tblCellMar>
            <w:top w:w="0" w:type="dxa"/>
            <w:left w:w="108" w:type="dxa"/>
            <w:bottom w:w="0" w:type="dxa"/>
            <w:right w:w="108" w:type="dxa"/>
          </w:tblCellMar>
        </w:tblPrEx>
        <w:trPr>
          <w:trHeight w:val="360" w:hRule="atLeast"/>
          <w:jc w:val="center"/>
        </w:trPr>
        <w:tc>
          <w:tcPr>
            <w:tcW w:w="1144" w:type="dxa"/>
            <w:tcBorders>
              <w:top w:val="nil"/>
              <w:left w:val="nil"/>
              <w:bottom w:val="nil"/>
              <w:right w:val="nil"/>
            </w:tcBorders>
            <w:shd w:val="clear" w:color="auto" w:fill="FFFFFF"/>
            <w:vAlign w:val="center"/>
          </w:tcPr>
          <w:p w14:paraId="0736BBD5">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w:t>
            </w:r>
          </w:p>
        </w:tc>
        <w:tc>
          <w:tcPr>
            <w:tcW w:w="1676" w:type="dxa"/>
            <w:tcBorders>
              <w:top w:val="nil"/>
              <w:left w:val="nil"/>
              <w:bottom w:val="nil"/>
              <w:right w:val="nil"/>
            </w:tcBorders>
            <w:shd w:val="clear" w:color="auto" w:fill="FFFFFF"/>
            <w:noWrap/>
            <w:vAlign w:val="center"/>
          </w:tcPr>
          <w:p w14:paraId="781BC105">
            <w:pPr>
              <w:widowControl/>
              <w:spacing w:line="360" w:lineRule="auto"/>
              <w:jc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重庆</w:t>
            </w:r>
          </w:p>
        </w:tc>
        <w:tc>
          <w:tcPr>
            <w:tcW w:w="1585" w:type="dxa"/>
            <w:tcBorders>
              <w:top w:val="nil"/>
              <w:left w:val="nil"/>
              <w:bottom w:val="nil"/>
              <w:right w:val="nil"/>
            </w:tcBorders>
            <w:shd w:val="clear" w:color="auto" w:fill="FFFFFF"/>
            <w:noWrap/>
            <w:vAlign w:val="center"/>
          </w:tcPr>
          <w:p w14:paraId="7A46B703">
            <w:pPr>
              <w:widowControl/>
              <w:spacing w:line="360" w:lineRule="auto"/>
              <w:jc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多花黄精</w:t>
            </w:r>
          </w:p>
        </w:tc>
        <w:tc>
          <w:tcPr>
            <w:tcW w:w="1417" w:type="dxa"/>
            <w:tcBorders>
              <w:top w:val="nil"/>
              <w:left w:val="nil"/>
              <w:bottom w:val="nil"/>
              <w:right w:val="nil"/>
            </w:tcBorders>
            <w:shd w:val="clear" w:color="auto" w:fill="FFFFFF"/>
            <w:noWrap/>
            <w:vAlign w:val="center"/>
          </w:tcPr>
          <w:p w14:paraId="32DA8F50">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w:t>
            </w:r>
          </w:p>
        </w:tc>
        <w:tc>
          <w:tcPr>
            <w:tcW w:w="1276" w:type="dxa"/>
            <w:tcBorders>
              <w:top w:val="nil"/>
              <w:left w:val="nil"/>
              <w:bottom w:val="nil"/>
              <w:right w:val="nil"/>
            </w:tcBorders>
            <w:shd w:val="clear" w:color="auto" w:fill="FFFFFF"/>
            <w:vAlign w:val="center"/>
          </w:tcPr>
          <w:p w14:paraId="369B048B">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7.78</w:t>
            </w:r>
          </w:p>
        </w:tc>
        <w:tc>
          <w:tcPr>
            <w:tcW w:w="1276" w:type="dxa"/>
            <w:tcBorders>
              <w:top w:val="nil"/>
              <w:left w:val="nil"/>
              <w:bottom w:val="nil"/>
              <w:right w:val="nil"/>
            </w:tcBorders>
            <w:shd w:val="clear" w:color="auto" w:fill="FFFFFF"/>
            <w:noWrap/>
            <w:vAlign w:val="center"/>
          </w:tcPr>
          <w:p w14:paraId="6D853836">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1.11</w:t>
            </w:r>
          </w:p>
        </w:tc>
      </w:tr>
      <w:tr w14:paraId="5B053292">
        <w:tblPrEx>
          <w:tblCellMar>
            <w:top w:w="0" w:type="dxa"/>
            <w:left w:w="108" w:type="dxa"/>
            <w:bottom w:w="0" w:type="dxa"/>
            <w:right w:w="108" w:type="dxa"/>
          </w:tblCellMar>
        </w:tblPrEx>
        <w:trPr>
          <w:trHeight w:val="360" w:hRule="atLeast"/>
          <w:jc w:val="center"/>
        </w:trPr>
        <w:tc>
          <w:tcPr>
            <w:tcW w:w="1144" w:type="dxa"/>
            <w:tcBorders>
              <w:top w:val="nil"/>
              <w:left w:val="nil"/>
              <w:bottom w:val="nil"/>
              <w:right w:val="nil"/>
            </w:tcBorders>
            <w:shd w:val="clear" w:color="auto" w:fill="FFFFFF"/>
            <w:vAlign w:val="center"/>
          </w:tcPr>
          <w:p w14:paraId="683D8BC8">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1676" w:type="dxa"/>
            <w:tcBorders>
              <w:top w:val="nil"/>
              <w:left w:val="nil"/>
              <w:bottom w:val="nil"/>
              <w:right w:val="nil"/>
            </w:tcBorders>
            <w:shd w:val="clear" w:color="auto" w:fill="FFFFFF"/>
            <w:noWrap/>
            <w:vAlign w:val="center"/>
          </w:tcPr>
          <w:p w14:paraId="34CB423A">
            <w:pPr>
              <w:widowControl/>
              <w:spacing w:line="360" w:lineRule="auto"/>
              <w:jc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贵州植物园</w:t>
            </w:r>
          </w:p>
        </w:tc>
        <w:tc>
          <w:tcPr>
            <w:tcW w:w="1585" w:type="dxa"/>
            <w:tcBorders>
              <w:top w:val="nil"/>
              <w:left w:val="nil"/>
              <w:bottom w:val="nil"/>
              <w:right w:val="nil"/>
            </w:tcBorders>
            <w:shd w:val="clear" w:color="auto" w:fill="FFFFFF"/>
            <w:noWrap/>
            <w:vAlign w:val="center"/>
          </w:tcPr>
          <w:p w14:paraId="0572201E">
            <w:pPr>
              <w:widowControl/>
              <w:spacing w:line="360" w:lineRule="auto"/>
              <w:jc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多花黄精</w:t>
            </w:r>
          </w:p>
        </w:tc>
        <w:tc>
          <w:tcPr>
            <w:tcW w:w="1417" w:type="dxa"/>
            <w:tcBorders>
              <w:top w:val="nil"/>
              <w:left w:val="nil"/>
              <w:bottom w:val="nil"/>
              <w:right w:val="nil"/>
            </w:tcBorders>
            <w:shd w:val="clear" w:color="auto" w:fill="FFFFFF"/>
            <w:noWrap/>
            <w:vAlign w:val="center"/>
          </w:tcPr>
          <w:p w14:paraId="64454447">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8</w:t>
            </w:r>
          </w:p>
        </w:tc>
        <w:tc>
          <w:tcPr>
            <w:tcW w:w="1276" w:type="dxa"/>
            <w:tcBorders>
              <w:top w:val="nil"/>
              <w:left w:val="nil"/>
              <w:bottom w:val="nil"/>
              <w:right w:val="nil"/>
            </w:tcBorders>
            <w:shd w:val="clear" w:color="auto" w:fill="FFFFFF"/>
            <w:vAlign w:val="center"/>
          </w:tcPr>
          <w:p w14:paraId="7F5DE9E0">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12.19</w:t>
            </w:r>
          </w:p>
        </w:tc>
        <w:tc>
          <w:tcPr>
            <w:tcW w:w="1276" w:type="dxa"/>
            <w:tcBorders>
              <w:top w:val="nil"/>
              <w:left w:val="nil"/>
              <w:bottom w:val="nil"/>
              <w:right w:val="nil"/>
            </w:tcBorders>
            <w:shd w:val="clear" w:color="auto" w:fill="FFFFFF"/>
            <w:noWrap/>
            <w:vAlign w:val="center"/>
          </w:tcPr>
          <w:p w14:paraId="5800C40B">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1.22</w:t>
            </w:r>
          </w:p>
        </w:tc>
      </w:tr>
      <w:tr w14:paraId="1C398297">
        <w:tblPrEx>
          <w:tblCellMar>
            <w:top w:w="0" w:type="dxa"/>
            <w:left w:w="108" w:type="dxa"/>
            <w:bottom w:w="0" w:type="dxa"/>
            <w:right w:w="108" w:type="dxa"/>
          </w:tblCellMar>
        </w:tblPrEx>
        <w:trPr>
          <w:trHeight w:val="360" w:hRule="atLeast"/>
          <w:jc w:val="center"/>
        </w:trPr>
        <w:tc>
          <w:tcPr>
            <w:tcW w:w="1144" w:type="dxa"/>
            <w:tcBorders>
              <w:top w:val="nil"/>
              <w:left w:val="nil"/>
              <w:bottom w:val="nil"/>
              <w:right w:val="nil"/>
            </w:tcBorders>
            <w:shd w:val="clear" w:color="auto" w:fill="FFFFFF"/>
            <w:vAlign w:val="center"/>
          </w:tcPr>
          <w:p w14:paraId="06F09552">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w:t>
            </w:r>
          </w:p>
        </w:tc>
        <w:tc>
          <w:tcPr>
            <w:tcW w:w="1676" w:type="dxa"/>
            <w:tcBorders>
              <w:top w:val="nil"/>
              <w:left w:val="nil"/>
              <w:bottom w:val="nil"/>
              <w:right w:val="nil"/>
            </w:tcBorders>
            <w:shd w:val="clear" w:color="auto" w:fill="FFFFFF"/>
            <w:noWrap/>
            <w:vAlign w:val="center"/>
          </w:tcPr>
          <w:p w14:paraId="1835A99A">
            <w:pPr>
              <w:widowControl/>
              <w:spacing w:line="360" w:lineRule="auto"/>
              <w:jc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新化</w:t>
            </w:r>
          </w:p>
        </w:tc>
        <w:tc>
          <w:tcPr>
            <w:tcW w:w="1585" w:type="dxa"/>
            <w:tcBorders>
              <w:top w:val="nil"/>
              <w:left w:val="nil"/>
              <w:bottom w:val="nil"/>
              <w:right w:val="nil"/>
            </w:tcBorders>
            <w:shd w:val="clear" w:color="auto" w:fill="FFFFFF"/>
            <w:noWrap/>
            <w:vAlign w:val="center"/>
          </w:tcPr>
          <w:p w14:paraId="2A392B03">
            <w:pPr>
              <w:widowControl/>
              <w:spacing w:line="360" w:lineRule="auto"/>
              <w:jc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多花黄精</w:t>
            </w:r>
          </w:p>
        </w:tc>
        <w:tc>
          <w:tcPr>
            <w:tcW w:w="1417" w:type="dxa"/>
            <w:tcBorders>
              <w:top w:val="nil"/>
              <w:left w:val="nil"/>
              <w:bottom w:val="nil"/>
              <w:right w:val="nil"/>
            </w:tcBorders>
            <w:shd w:val="clear" w:color="auto" w:fill="FFFFFF"/>
            <w:noWrap/>
            <w:vAlign w:val="center"/>
          </w:tcPr>
          <w:p w14:paraId="1D1587E5">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w:t>
            </w:r>
          </w:p>
        </w:tc>
        <w:tc>
          <w:tcPr>
            <w:tcW w:w="1276" w:type="dxa"/>
            <w:tcBorders>
              <w:top w:val="nil"/>
              <w:left w:val="nil"/>
              <w:bottom w:val="nil"/>
              <w:right w:val="nil"/>
            </w:tcBorders>
            <w:shd w:val="clear" w:color="auto" w:fill="FFFFFF"/>
            <w:vAlign w:val="center"/>
          </w:tcPr>
          <w:p w14:paraId="3C0A14E5">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11.71</w:t>
            </w:r>
          </w:p>
        </w:tc>
        <w:tc>
          <w:tcPr>
            <w:tcW w:w="1276" w:type="dxa"/>
            <w:tcBorders>
              <w:top w:val="nil"/>
              <w:left w:val="nil"/>
              <w:bottom w:val="nil"/>
              <w:right w:val="nil"/>
            </w:tcBorders>
            <w:shd w:val="clear" w:color="auto" w:fill="FFFFFF"/>
            <w:noWrap/>
            <w:vAlign w:val="center"/>
          </w:tcPr>
          <w:p w14:paraId="2F9C36E4">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1.21</w:t>
            </w:r>
          </w:p>
        </w:tc>
      </w:tr>
      <w:tr w14:paraId="68A0308F">
        <w:tblPrEx>
          <w:tblCellMar>
            <w:top w:w="0" w:type="dxa"/>
            <w:left w:w="108" w:type="dxa"/>
            <w:bottom w:w="0" w:type="dxa"/>
            <w:right w:w="108" w:type="dxa"/>
          </w:tblCellMar>
        </w:tblPrEx>
        <w:trPr>
          <w:trHeight w:val="360" w:hRule="atLeast"/>
          <w:jc w:val="center"/>
        </w:trPr>
        <w:tc>
          <w:tcPr>
            <w:tcW w:w="1144" w:type="dxa"/>
            <w:tcBorders>
              <w:top w:val="nil"/>
              <w:left w:val="nil"/>
              <w:bottom w:val="nil"/>
              <w:right w:val="nil"/>
            </w:tcBorders>
            <w:shd w:val="clear" w:color="auto" w:fill="FFFFFF"/>
            <w:vAlign w:val="center"/>
          </w:tcPr>
          <w:p w14:paraId="2470E362">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w:t>
            </w:r>
          </w:p>
        </w:tc>
        <w:tc>
          <w:tcPr>
            <w:tcW w:w="1676" w:type="dxa"/>
            <w:tcBorders>
              <w:top w:val="nil"/>
              <w:left w:val="nil"/>
              <w:bottom w:val="nil"/>
              <w:right w:val="nil"/>
            </w:tcBorders>
            <w:shd w:val="clear" w:color="auto" w:fill="FFFFFF"/>
            <w:noWrap/>
            <w:vAlign w:val="center"/>
          </w:tcPr>
          <w:p w14:paraId="779C70BB">
            <w:pPr>
              <w:widowControl/>
              <w:spacing w:line="360" w:lineRule="auto"/>
              <w:jc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江西安福</w:t>
            </w:r>
          </w:p>
        </w:tc>
        <w:tc>
          <w:tcPr>
            <w:tcW w:w="1585" w:type="dxa"/>
            <w:tcBorders>
              <w:top w:val="nil"/>
              <w:left w:val="nil"/>
              <w:bottom w:val="nil"/>
              <w:right w:val="nil"/>
            </w:tcBorders>
            <w:shd w:val="clear" w:color="auto" w:fill="FFFFFF"/>
            <w:noWrap/>
            <w:vAlign w:val="center"/>
          </w:tcPr>
          <w:p w14:paraId="084DC9AB">
            <w:pPr>
              <w:widowControl/>
              <w:spacing w:line="360" w:lineRule="auto"/>
              <w:jc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多花黄精</w:t>
            </w:r>
          </w:p>
        </w:tc>
        <w:tc>
          <w:tcPr>
            <w:tcW w:w="1417" w:type="dxa"/>
            <w:tcBorders>
              <w:top w:val="nil"/>
              <w:left w:val="nil"/>
              <w:bottom w:val="nil"/>
              <w:right w:val="nil"/>
            </w:tcBorders>
            <w:shd w:val="clear" w:color="auto" w:fill="FFFFFF"/>
            <w:noWrap/>
            <w:vAlign w:val="center"/>
          </w:tcPr>
          <w:p w14:paraId="53648147">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1276" w:type="dxa"/>
            <w:tcBorders>
              <w:top w:val="nil"/>
              <w:left w:val="nil"/>
              <w:bottom w:val="nil"/>
              <w:right w:val="nil"/>
            </w:tcBorders>
            <w:shd w:val="clear" w:color="auto" w:fill="FFFFFF"/>
            <w:vAlign w:val="center"/>
          </w:tcPr>
          <w:p w14:paraId="10B26BD5">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7.87</w:t>
            </w:r>
          </w:p>
        </w:tc>
        <w:tc>
          <w:tcPr>
            <w:tcW w:w="1276" w:type="dxa"/>
            <w:tcBorders>
              <w:top w:val="nil"/>
              <w:left w:val="nil"/>
              <w:bottom w:val="nil"/>
              <w:right w:val="nil"/>
            </w:tcBorders>
            <w:shd w:val="clear" w:color="auto" w:fill="FFFFFF"/>
            <w:noWrap/>
            <w:vAlign w:val="center"/>
          </w:tcPr>
          <w:p w14:paraId="04577E1C">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1.22</w:t>
            </w:r>
          </w:p>
        </w:tc>
      </w:tr>
      <w:tr w14:paraId="57FBC8CC">
        <w:tblPrEx>
          <w:tblCellMar>
            <w:top w:w="0" w:type="dxa"/>
            <w:left w:w="108" w:type="dxa"/>
            <w:bottom w:w="0" w:type="dxa"/>
            <w:right w:w="108" w:type="dxa"/>
          </w:tblCellMar>
        </w:tblPrEx>
        <w:trPr>
          <w:trHeight w:val="360" w:hRule="atLeast"/>
          <w:jc w:val="center"/>
        </w:trPr>
        <w:tc>
          <w:tcPr>
            <w:tcW w:w="1144" w:type="dxa"/>
            <w:tcBorders>
              <w:top w:val="nil"/>
              <w:left w:val="nil"/>
              <w:bottom w:val="nil"/>
              <w:right w:val="nil"/>
            </w:tcBorders>
            <w:shd w:val="clear" w:color="auto" w:fill="FFFFFF"/>
            <w:vAlign w:val="center"/>
          </w:tcPr>
          <w:p w14:paraId="7B98A9BF">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w:t>
            </w:r>
          </w:p>
        </w:tc>
        <w:tc>
          <w:tcPr>
            <w:tcW w:w="1676" w:type="dxa"/>
            <w:tcBorders>
              <w:top w:val="nil"/>
              <w:left w:val="nil"/>
              <w:bottom w:val="nil"/>
              <w:right w:val="nil"/>
            </w:tcBorders>
            <w:shd w:val="clear" w:color="auto" w:fill="FFFFFF"/>
            <w:noWrap/>
            <w:vAlign w:val="center"/>
          </w:tcPr>
          <w:p w14:paraId="695C5546">
            <w:pPr>
              <w:widowControl/>
              <w:spacing w:line="360" w:lineRule="auto"/>
              <w:jc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江西龙南</w:t>
            </w:r>
          </w:p>
        </w:tc>
        <w:tc>
          <w:tcPr>
            <w:tcW w:w="1585" w:type="dxa"/>
            <w:tcBorders>
              <w:top w:val="nil"/>
              <w:left w:val="nil"/>
              <w:bottom w:val="nil"/>
              <w:right w:val="nil"/>
            </w:tcBorders>
            <w:shd w:val="clear" w:color="auto" w:fill="FFFFFF"/>
            <w:noWrap/>
            <w:vAlign w:val="center"/>
          </w:tcPr>
          <w:p w14:paraId="78ECF6A8">
            <w:pPr>
              <w:widowControl/>
              <w:spacing w:line="360" w:lineRule="auto"/>
              <w:jc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多花黄精</w:t>
            </w:r>
          </w:p>
        </w:tc>
        <w:tc>
          <w:tcPr>
            <w:tcW w:w="1417" w:type="dxa"/>
            <w:tcBorders>
              <w:top w:val="nil"/>
              <w:left w:val="nil"/>
              <w:bottom w:val="nil"/>
              <w:right w:val="nil"/>
            </w:tcBorders>
            <w:shd w:val="clear" w:color="auto" w:fill="FFFFFF"/>
            <w:noWrap/>
            <w:vAlign w:val="center"/>
          </w:tcPr>
          <w:p w14:paraId="3968EFD5">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w:t>
            </w:r>
          </w:p>
        </w:tc>
        <w:tc>
          <w:tcPr>
            <w:tcW w:w="1276" w:type="dxa"/>
            <w:tcBorders>
              <w:top w:val="nil"/>
              <w:left w:val="nil"/>
              <w:bottom w:val="nil"/>
              <w:right w:val="nil"/>
            </w:tcBorders>
            <w:shd w:val="clear" w:color="auto" w:fill="FFFFFF"/>
            <w:vAlign w:val="center"/>
          </w:tcPr>
          <w:p w14:paraId="1D99384B">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5.39</w:t>
            </w:r>
          </w:p>
        </w:tc>
        <w:tc>
          <w:tcPr>
            <w:tcW w:w="1276" w:type="dxa"/>
            <w:tcBorders>
              <w:top w:val="nil"/>
              <w:left w:val="nil"/>
              <w:bottom w:val="nil"/>
              <w:right w:val="nil"/>
            </w:tcBorders>
            <w:shd w:val="clear" w:color="auto" w:fill="FFFFFF"/>
            <w:noWrap/>
            <w:vAlign w:val="center"/>
          </w:tcPr>
          <w:p w14:paraId="3F2D6381">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1.21</w:t>
            </w:r>
          </w:p>
        </w:tc>
      </w:tr>
      <w:tr w14:paraId="58934BB8">
        <w:tblPrEx>
          <w:tblCellMar>
            <w:top w:w="0" w:type="dxa"/>
            <w:left w:w="108" w:type="dxa"/>
            <w:bottom w:w="0" w:type="dxa"/>
            <w:right w:w="108" w:type="dxa"/>
          </w:tblCellMar>
        </w:tblPrEx>
        <w:trPr>
          <w:trHeight w:val="360" w:hRule="atLeast"/>
          <w:jc w:val="center"/>
        </w:trPr>
        <w:tc>
          <w:tcPr>
            <w:tcW w:w="1144" w:type="dxa"/>
            <w:tcBorders>
              <w:top w:val="nil"/>
              <w:left w:val="nil"/>
              <w:bottom w:val="nil"/>
              <w:right w:val="nil"/>
            </w:tcBorders>
            <w:shd w:val="clear" w:color="auto" w:fill="FFFFFF"/>
            <w:vAlign w:val="center"/>
          </w:tcPr>
          <w:p w14:paraId="49AEBE85">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w:t>
            </w:r>
          </w:p>
        </w:tc>
        <w:tc>
          <w:tcPr>
            <w:tcW w:w="1676" w:type="dxa"/>
            <w:tcBorders>
              <w:top w:val="nil"/>
              <w:left w:val="nil"/>
              <w:bottom w:val="nil"/>
              <w:right w:val="nil"/>
            </w:tcBorders>
            <w:shd w:val="clear" w:color="000000" w:fill="FFFFFF"/>
            <w:noWrap/>
            <w:vAlign w:val="center"/>
          </w:tcPr>
          <w:p w14:paraId="2BF225A5">
            <w:pPr>
              <w:widowControl/>
              <w:spacing w:line="360" w:lineRule="auto"/>
              <w:jc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宜春宜丰</w:t>
            </w:r>
          </w:p>
        </w:tc>
        <w:tc>
          <w:tcPr>
            <w:tcW w:w="1585" w:type="dxa"/>
            <w:tcBorders>
              <w:top w:val="nil"/>
              <w:left w:val="nil"/>
              <w:bottom w:val="nil"/>
              <w:right w:val="nil"/>
            </w:tcBorders>
            <w:shd w:val="clear" w:color="auto" w:fill="FFFFFF"/>
            <w:noWrap/>
            <w:vAlign w:val="center"/>
          </w:tcPr>
          <w:p w14:paraId="03750794">
            <w:pPr>
              <w:widowControl/>
              <w:spacing w:line="360" w:lineRule="auto"/>
              <w:jc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多花黄精</w:t>
            </w:r>
          </w:p>
        </w:tc>
        <w:tc>
          <w:tcPr>
            <w:tcW w:w="1417" w:type="dxa"/>
            <w:tcBorders>
              <w:top w:val="nil"/>
              <w:left w:val="nil"/>
              <w:bottom w:val="nil"/>
              <w:right w:val="nil"/>
            </w:tcBorders>
            <w:shd w:val="clear" w:color="auto" w:fill="FFFFFF"/>
            <w:noWrap/>
            <w:vAlign w:val="center"/>
          </w:tcPr>
          <w:p w14:paraId="1622BDA7">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1276" w:type="dxa"/>
            <w:tcBorders>
              <w:top w:val="nil"/>
              <w:left w:val="nil"/>
              <w:bottom w:val="nil"/>
              <w:right w:val="nil"/>
            </w:tcBorders>
            <w:shd w:val="clear" w:color="auto" w:fill="FFFFFF"/>
            <w:vAlign w:val="center"/>
          </w:tcPr>
          <w:p w14:paraId="084A4D5C">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10.38</w:t>
            </w:r>
          </w:p>
        </w:tc>
        <w:tc>
          <w:tcPr>
            <w:tcW w:w="1276" w:type="dxa"/>
            <w:tcBorders>
              <w:top w:val="nil"/>
              <w:left w:val="nil"/>
              <w:bottom w:val="nil"/>
              <w:right w:val="nil"/>
            </w:tcBorders>
            <w:shd w:val="clear" w:color="auto" w:fill="FFFFFF"/>
            <w:noWrap/>
            <w:vAlign w:val="center"/>
          </w:tcPr>
          <w:p w14:paraId="7C9183CF">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1.46</w:t>
            </w:r>
          </w:p>
        </w:tc>
      </w:tr>
      <w:tr w14:paraId="12D96545">
        <w:tblPrEx>
          <w:tblCellMar>
            <w:top w:w="0" w:type="dxa"/>
            <w:left w:w="108" w:type="dxa"/>
            <w:bottom w:w="0" w:type="dxa"/>
            <w:right w:w="108" w:type="dxa"/>
          </w:tblCellMar>
        </w:tblPrEx>
        <w:trPr>
          <w:trHeight w:val="360" w:hRule="atLeast"/>
          <w:jc w:val="center"/>
        </w:trPr>
        <w:tc>
          <w:tcPr>
            <w:tcW w:w="1144" w:type="dxa"/>
            <w:tcBorders>
              <w:top w:val="nil"/>
              <w:left w:val="nil"/>
              <w:bottom w:val="nil"/>
              <w:right w:val="nil"/>
            </w:tcBorders>
            <w:shd w:val="clear" w:color="auto" w:fill="FFFFFF"/>
            <w:vAlign w:val="center"/>
          </w:tcPr>
          <w:p w14:paraId="0C977265">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8</w:t>
            </w:r>
          </w:p>
        </w:tc>
        <w:tc>
          <w:tcPr>
            <w:tcW w:w="1676" w:type="dxa"/>
            <w:tcBorders>
              <w:top w:val="nil"/>
              <w:left w:val="nil"/>
              <w:bottom w:val="nil"/>
              <w:right w:val="nil"/>
            </w:tcBorders>
            <w:shd w:val="clear" w:color="auto" w:fill="FFFFFF"/>
            <w:noWrap/>
            <w:vAlign w:val="center"/>
          </w:tcPr>
          <w:p w14:paraId="4919C0D0">
            <w:pPr>
              <w:widowControl/>
              <w:spacing w:line="360" w:lineRule="auto"/>
              <w:jc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江西铜鼓</w:t>
            </w:r>
            <w:r>
              <w:rPr>
                <w:rFonts w:ascii="Times New Roman" w:hAnsi="Times New Roman" w:eastAsia="宋体" w:cs="Times New Roman"/>
                <w:color w:val="000000"/>
                <w:kern w:val="0"/>
                <w:szCs w:val="21"/>
              </w:rPr>
              <w:t>1</w:t>
            </w:r>
          </w:p>
        </w:tc>
        <w:tc>
          <w:tcPr>
            <w:tcW w:w="1585" w:type="dxa"/>
            <w:tcBorders>
              <w:top w:val="nil"/>
              <w:left w:val="nil"/>
              <w:bottom w:val="nil"/>
              <w:right w:val="nil"/>
            </w:tcBorders>
            <w:shd w:val="clear" w:color="auto" w:fill="FFFFFF"/>
            <w:noWrap/>
            <w:vAlign w:val="center"/>
          </w:tcPr>
          <w:p w14:paraId="1E9EE018">
            <w:pPr>
              <w:widowControl/>
              <w:spacing w:line="360" w:lineRule="auto"/>
              <w:jc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多花黄精</w:t>
            </w:r>
          </w:p>
        </w:tc>
        <w:tc>
          <w:tcPr>
            <w:tcW w:w="1417" w:type="dxa"/>
            <w:tcBorders>
              <w:top w:val="nil"/>
              <w:left w:val="nil"/>
              <w:bottom w:val="nil"/>
              <w:right w:val="nil"/>
            </w:tcBorders>
            <w:shd w:val="clear" w:color="auto" w:fill="FFFFFF"/>
            <w:noWrap/>
            <w:vAlign w:val="center"/>
          </w:tcPr>
          <w:p w14:paraId="1C676914">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w:t>
            </w:r>
          </w:p>
        </w:tc>
        <w:tc>
          <w:tcPr>
            <w:tcW w:w="1276" w:type="dxa"/>
            <w:tcBorders>
              <w:top w:val="nil"/>
              <w:left w:val="nil"/>
              <w:bottom w:val="nil"/>
              <w:right w:val="nil"/>
            </w:tcBorders>
            <w:shd w:val="clear" w:color="auto" w:fill="FFFFFF"/>
            <w:vAlign w:val="center"/>
          </w:tcPr>
          <w:p w14:paraId="0C0EA6C4">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10.75</w:t>
            </w:r>
          </w:p>
        </w:tc>
        <w:tc>
          <w:tcPr>
            <w:tcW w:w="1276" w:type="dxa"/>
            <w:tcBorders>
              <w:top w:val="nil"/>
              <w:left w:val="nil"/>
              <w:bottom w:val="nil"/>
              <w:right w:val="nil"/>
            </w:tcBorders>
            <w:shd w:val="clear" w:color="auto" w:fill="FFFFFF"/>
            <w:noWrap/>
            <w:vAlign w:val="center"/>
          </w:tcPr>
          <w:p w14:paraId="05CE4D2A">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1.25</w:t>
            </w:r>
          </w:p>
        </w:tc>
      </w:tr>
      <w:tr w14:paraId="0236E258">
        <w:tblPrEx>
          <w:tblCellMar>
            <w:top w:w="0" w:type="dxa"/>
            <w:left w:w="108" w:type="dxa"/>
            <w:bottom w:w="0" w:type="dxa"/>
            <w:right w:w="108" w:type="dxa"/>
          </w:tblCellMar>
        </w:tblPrEx>
        <w:trPr>
          <w:trHeight w:val="360" w:hRule="atLeast"/>
          <w:jc w:val="center"/>
        </w:trPr>
        <w:tc>
          <w:tcPr>
            <w:tcW w:w="1144" w:type="dxa"/>
            <w:tcBorders>
              <w:top w:val="nil"/>
              <w:left w:val="nil"/>
              <w:bottom w:val="nil"/>
              <w:right w:val="nil"/>
            </w:tcBorders>
            <w:shd w:val="clear" w:color="auto" w:fill="FFFFFF"/>
            <w:vAlign w:val="center"/>
          </w:tcPr>
          <w:p w14:paraId="6CD4F9EB">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9</w:t>
            </w:r>
          </w:p>
        </w:tc>
        <w:tc>
          <w:tcPr>
            <w:tcW w:w="1676" w:type="dxa"/>
            <w:tcBorders>
              <w:top w:val="nil"/>
              <w:left w:val="nil"/>
              <w:bottom w:val="nil"/>
              <w:right w:val="nil"/>
            </w:tcBorders>
            <w:shd w:val="clear" w:color="auto" w:fill="FFFFFF"/>
            <w:noWrap/>
            <w:vAlign w:val="center"/>
          </w:tcPr>
          <w:p w14:paraId="1FDC2EDF">
            <w:pPr>
              <w:widowControl/>
              <w:spacing w:line="360" w:lineRule="auto"/>
              <w:jc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江西铜鼓</w:t>
            </w:r>
            <w:r>
              <w:rPr>
                <w:rFonts w:ascii="Times New Roman" w:hAnsi="Times New Roman" w:eastAsia="宋体" w:cs="Times New Roman"/>
                <w:color w:val="000000"/>
                <w:kern w:val="0"/>
                <w:szCs w:val="21"/>
              </w:rPr>
              <w:t>2</w:t>
            </w:r>
          </w:p>
        </w:tc>
        <w:tc>
          <w:tcPr>
            <w:tcW w:w="1585" w:type="dxa"/>
            <w:tcBorders>
              <w:top w:val="nil"/>
              <w:left w:val="nil"/>
              <w:bottom w:val="nil"/>
              <w:right w:val="nil"/>
            </w:tcBorders>
            <w:shd w:val="clear" w:color="auto" w:fill="FFFFFF"/>
            <w:noWrap/>
            <w:vAlign w:val="center"/>
          </w:tcPr>
          <w:p w14:paraId="7A1A9639">
            <w:pPr>
              <w:widowControl/>
              <w:spacing w:line="360" w:lineRule="auto"/>
              <w:jc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多花黄精</w:t>
            </w:r>
          </w:p>
        </w:tc>
        <w:tc>
          <w:tcPr>
            <w:tcW w:w="1417" w:type="dxa"/>
            <w:tcBorders>
              <w:top w:val="nil"/>
              <w:left w:val="nil"/>
              <w:bottom w:val="nil"/>
              <w:right w:val="nil"/>
            </w:tcBorders>
            <w:shd w:val="clear" w:color="auto" w:fill="FFFFFF"/>
            <w:noWrap/>
            <w:vAlign w:val="center"/>
          </w:tcPr>
          <w:p w14:paraId="1A94FF80">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w:t>
            </w:r>
          </w:p>
        </w:tc>
        <w:tc>
          <w:tcPr>
            <w:tcW w:w="1276" w:type="dxa"/>
            <w:tcBorders>
              <w:top w:val="nil"/>
              <w:left w:val="nil"/>
              <w:bottom w:val="nil"/>
              <w:right w:val="nil"/>
            </w:tcBorders>
            <w:shd w:val="clear" w:color="auto" w:fill="FFFFFF"/>
            <w:vAlign w:val="center"/>
          </w:tcPr>
          <w:p w14:paraId="3A99CDD5">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14.18</w:t>
            </w:r>
          </w:p>
        </w:tc>
        <w:tc>
          <w:tcPr>
            <w:tcW w:w="1276" w:type="dxa"/>
            <w:tcBorders>
              <w:top w:val="nil"/>
              <w:left w:val="nil"/>
              <w:bottom w:val="nil"/>
              <w:right w:val="nil"/>
            </w:tcBorders>
            <w:shd w:val="clear" w:color="auto" w:fill="FFFFFF"/>
            <w:noWrap/>
            <w:vAlign w:val="center"/>
          </w:tcPr>
          <w:p w14:paraId="5019AD16">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1.35</w:t>
            </w:r>
          </w:p>
        </w:tc>
      </w:tr>
      <w:tr w14:paraId="7518325F">
        <w:tblPrEx>
          <w:tblCellMar>
            <w:top w:w="0" w:type="dxa"/>
            <w:left w:w="108" w:type="dxa"/>
            <w:bottom w:w="0" w:type="dxa"/>
            <w:right w:w="108" w:type="dxa"/>
          </w:tblCellMar>
        </w:tblPrEx>
        <w:trPr>
          <w:trHeight w:val="360" w:hRule="atLeast"/>
          <w:jc w:val="center"/>
        </w:trPr>
        <w:tc>
          <w:tcPr>
            <w:tcW w:w="1144" w:type="dxa"/>
            <w:tcBorders>
              <w:top w:val="nil"/>
              <w:left w:val="nil"/>
              <w:bottom w:val="nil"/>
              <w:right w:val="nil"/>
            </w:tcBorders>
            <w:shd w:val="clear" w:color="auto" w:fill="FFFFFF"/>
            <w:vAlign w:val="center"/>
          </w:tcPr>
          <w:p w14:paraId="5CB1111E">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10</w:t>
            </w:r>
          </w:p>
        </w:tc>
        <w:tc>
          <w:tcPr>
            <w:tcW w:w="1676" w:type="dxa"/>
            <w:tcBorders>
              <w:top w:val="nil"/>
              <w:left w:val="nil"/>
              <w:bottom w:val="nil"/>
              <w:right w:val="nil"/>
            </w:tcBorders>
            <w:shd w:val="clear" w:color="auto" w:fill="FFFFFF"/>
            <w:noWrap/>
            <w:vAlign w:val="center"/>
          </w:tcPr>
          <w:p w14:paraId="644D0FF1">
            <w:pPr>
              <w:widowControl/>
              <w:spacing w:line="360" w:lineRule="auto"/>
              <w:jc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江西全南</w:t>
            </w:r>
          </w:p>
        </w:tc>
        <w:tc>
          <w:tcPr>
            <w:tcW w:w="1585" w:type="dxa"/>
            <w:tcBorders>
              <w:top w:val="nil"/>
              <w:left w:val="nil"/>
              <w:bottom w:val="nil"/>
              <w:right w:val="nil"/>
            </w:tcBorders>
            <w:shd w:val="clear" w:color="auto" w:fill="FFFFFF"/>
            <w:noWrap/>
            <w:vAlign w:val="center"/>
          </w:tcPr>
          <w:p w14:paraId="1A47AB76">
            <w:pPr>
              <w:widowControl/>
              <w:spacing w:line="360" w:lineRule="auto"/>
              <w:jc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多花黄精</w:t>
            </w:r>
          </w:p>
        </w:tc>
        <w:tc>
          <w:tcPr>
            <w:tcW w:w="1417" w:type="dxa"/>
            <w:tcBorders>
              <w:top w:val="nil"/>
              <w:left w:val="nil"/>
              <w:bottom w:val="nil"/>
              <w:right w:val="nil"/>
            </w:tcBorders>
            <w:shd w:val="clear" w:color="auto" w:fill="FFFFFF"/>
            <w:noWrap/>
            <w:vAlign w:val="center"/>
          </w:tcPr>
          <w:p w14:paraId="2142F6F0">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w:t>
            </w:r>
          </w:p>
        </w:tc>
        <w:tc>
          <w:tcPr>
            <w:tcW w:w="1276" w:type="dxa"/>
            <w:tcBorders>
              <w:top w:val="nil"/>
              <w:left w:val="nil"/>
              <w:bottom w:val="nil"/>
              <w:right w:val="nil"/>
            </w:tcBorders>
            <w:shd w:val="clear" w:color="auto" w:fill="FFFFFF"/>
            <w:vAlign w:val="center"/>
          </w:tcPr>
          <w:p w14:paraId="0B31E672">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5.17</w:t>
            </w:r>
          </w:p>
        </w:tc>
        <w:tc>
          <w:tcPr>
            <w:tcW w:w="1276" w:type="dxa"/>
            <w:tcBorders>
              <w:top w:val="nil"/>
              <w:left w:val="nil"/>
              <w:bottom w:val="nil"/>
              <w:right w:val="nil"/>
            </w:tcBorders>
            <w:shd w:val="clear" w:color="auto" w:fill="FFFFFF"/>
            <w:noWrap/>
            <w:vAlign w:val="center"/>
          </w:tcPr>
          <w:p w14:paraId="1DE076F6">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1.49</w:t>
            </w:r>
          </w:p>
        </w:tc>
      </w:tr>
      <w:tr w14:paraId="4F988038">
        <w:tblPrEx>
          <w:tblCellMar>
            <w:top w:w="0" w:type="dxa"/>
            <w:left w:w="108" w:type="dxa"/>
            <w:bottom w:w="0" w:type="dxa"/>
            <w:right w:w="108" w:type="dxa"/>
          </w:tblCellMar>
        </w:tblPrEx>
        <w:trPr>
          <w:trHeight w:val="360" w:hRule="atLeast"/>
          <w:jc w:val="center"/>
        </w:trPr>
        <w:tc>
          <w:tcPr>
            <w:tcW w:w="1144" w:type="dxa"/>
            <w:tcBorders>
              <w:top w:val="nil"/>
              <w:left w:val="nil"/>
              <w:bottom w:val="nil"/>
              <w:right w:val="nil"/>
            </w:tcBorders>
            <w:shd w:val="clear" w:color="auto" w:fill="FFFFFF"/>
            <w:vAlign w:val="center"/>
          </w:tcPr>
          <w:p w14:paraId="40A12EE2">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11</w:t>
            </w:r>
          </w:p>
        </w:tc>
        <w:tc>
          <w:tcPr>
            <w:tcW w:w="1676" w:type="dxa"/>
            <w:tcBorders>
              <w:top w:val="nil"/>
              <w:left w:val="nil"/>
              <w:bottom w:val="nil"/>
              <w:right w:val="nil"/>
            </w:tcBorders>
            <w:shd w:val="clear" w:color="000000" w:fill="FFFFFF"/>
            <w:noWrap/>
            <w:vAlign w:val="center"/>
          </w:tcPr>
          <w:p w14:paraId="72E69CE9">
            <w:pPr>
              <w:widowControl/>
              <w:spacing w:line="360" w:lineRule="auto"/>
              <w:jc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江西铜鼓</w:t>
            </w:r>
            <w:r>
              <w:rPr>
                <w:rFonts w:ascii="Times New Roman" w:hAnsi="Times New Roman" w:eastAsia="宋体" w:cs="Times New Roman"/>
                <w:color w:val="000000"/>
                <w:kern w:val="0"/>
                <w:szCs w:val="21"/>
              </w:rPr>
              <w:t>3</w:t>
            </w:r>
          </w:p>
        </w:tc>
        <w:tc>
          <w:tcPr>
            <w:tcW w:w="1585" w:type="dxa"/>
            <w:tcBorders>
              <w:top w:val="nil"/>
              <w:left w:val="nil"/>
              <w:bottom w:val="nil"/>
              <w:right w:val="nil"/>
            </w:tcBorders>
            <w:shd w:val="clear" w:color="auto" w:fill="FFFFFF"/>
            <w:noWrap/>
            <w:vAlign w:val="center"/>
          </w:tcPr>
          <w:p w14:paraId="1D919E45">
            <w:pPr>
              <w:widowControl/>
              <w:spacing w:line="360" w:lineRule="auto"/>
              <w:jc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多花黄精</w:t>
            </w:r>
          </w:p>
        </w:tc>
        <w:tc>
          <w:tcPr>
            <w:tcW w:w="1417" w:type="dxa"/>
            <w:tcBorders>
              <w:top w:val="nil"/>
              <w:left w:val="nil"/>
              <w:bottom w:val="nil"/>
              <w:right w:val="nil"/>
            </w:tcBorders>
            <w:shd w:val="clear" w:color="auto" w:fill="FFFFFF"/>
            <w:noWrap/>
            <w:vAlign w:val="center"/>
          </w:tcPr>
          <w:p w14:paraId="3EC0E512">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w:t>
            </w:r>
          </w:p>
        </w:tc>
        <w:tc>
          <w:tcPr>
            <w:tcW w:w="1276" w:type="dxa"/>
            <w:tcBorders>
              <w:top w:val="nil"/>
              <w:left w:val="nil"/>
              <w:bottom w:val="nil"/>
              <w:right w:val="nil"/>
            </w:tcBorders>
            <w:shd w:val="clear" w:color="auto" w:fill="FFFFFF"/>
            <w:vAlign w:val="center"/>
          </w:tcPr>
          <w:p w14:paraId="163C9701">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11.33</w:t>
            </w:r>
          </w:p>
        </w:tc>
        <w:tc>
          <w:tcPr>
            <w:tcW w:w="1276" w:type="dxa"/>
            <w:tcBorders>
              <w:top w:val="nil"/>
              <w:left w:val="nil"/>
              <w:bottom w:val="nil"/>
              <w:right w:val="nil"/>
            </w:tcBorders>
            <w:shd w:val="clear" w:color="auto" w:fill="FFFFFF"/>
            <w:noWrap/>
            <w:vAlign w:val="center"/>
          </w:tcPr>
          <w:p w14:paraId="787A31D2">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1.37</w:t>
            </w:r>
          </w:p>
        </w:tc>
      </w:tr>
      <w:tr w14:paraId="6F38C8F7">
        <w:tblPrEx>
          <w:tblCellMar>
            <w:top w:w="0" w:type="dxa"/>
            <w:left w:w="108" w:type="dxa"/>
            <w:bottom w:w="0" w:type="dxa"/>
            <w:right w:w="108" w:type="dxa"/>
          </w:tblCellMar>
        </w:tblPrEx>
        <w:trPr>
          <w:trHeight w:val="360" w:hRule="atLeast"/>
          <w:jc w:val="center"/>
        </w:trPr>
        <w:tc>
          <w:tcPr>
            <w:tcW w:w="1144" w:type="dxa"/>
            <w:tcBorders>
              <w:top w:val="nil"/>
              <w:left w:val="nil"/>
              <w:bottom w:val="single" w:color="000000" w:sz="12" w:space="0"/>
              <w:right w:val="nil"/>
            </w:tcBorders>
            <w:shd w:val="clear" w:color="auto" w:fill="FFFFFF"/>
            <w:vAlign w:val="center"/>
          </w:tcPr>
          <w:p w14:paraId="76D7B230">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12</w:t>
            </w:r>
          </w:p>
        </w:tc>
        <w:tc>
          <w:tcPr>
            <w:tcW w:w="1676" w:type="dxa"/>
            <w:tcBorders>
              <w:top w:val="nil"/>
              <w:left w:val="nil"/>
              <w:bottom w:val="single" w:color="000000" w:sz="12" w:space="0"/>
              <w:right w:val="nil"/>
            </w:tcBorders>
            <w:shd w:val="clear" w:color="auto" w:fill="FFFFFF"/>
            <w:noWrap/>
            <w:vAlign w:val="center"/>
          </w:tcPr>
          <w:p w14:paraId="7DD45BD2">
            <w:pPr>
              <w:widowControl/>
              <w:spacing w:line="360" w:lineRule="auto"/>
              <w:jc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安徽</w:t>
            </w:r>
          </w:p>
        </w:tc>
        <w:tc>
          <w:tcPr>
            <w:tcW w:w="1585" w:type="dxa"/>
            <w:tcBorders>
              <w:top w:val="nil"/>
              <w:left w:val="nil"/>
              <w:bottom w:val="single" w:color="000000" w:sz="12" w:space="0"/>
              <w:right w:val="nil"/>
            </w:tcBorders>
            <w:shd w:val="clear" w:color="auto" w:fill="FFFFFF"/>
            <w:noWrap/>
            <w:vAlign w:val="center"/>
          </w:tcPr>
          <w:p w14:paraId="7AB2DA4A">
            <w:pPr>
              <w:widowControl/>
              <w:spacing w:line="360" w:lineRule="auto"/>
              <w:jc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多花黄精</w:t>
            </w:r>
          </w:p>
        </w:tc>
        <w:tc>
          <w:tcPr>
            <w:tcW w:w="1417" w:type="dxa"/>
            <w:tcBorders>
              <w:top w:val="nil"/>
              <w:left w:val="nil"/>
              <w:bottom w:val="single" w:color="000000" w:sz="12" w:space="0"/>
              <w:right w:val="nil"/>
            </w:tcBorders>
            <w:shd w:val="clear" w:color="auto" w:fill="FFFFFF"/>
            <w:noWrap/>
            <w:vAlign w:val="center"/>
          </w:tcPr>
          <w:p w14:paraId="71FC1CA2">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w:t>
            </w:r>
          </w:p>
        </w:tc>
        <w:tc>
          <w:tcPr>
            <w:tcW w:w="1276" w:type="dxa"/>
            <w:tcBorders>
              <w:top w:val="nil"/>
              <w:left w:val="nil"/>
              <w:bottom w:val="single" w:color="000000" w:sz="12" w:space="0"/>
              <w:right w:val="nil"/>
            </w:tcBorders>
            <w:shd w:val="clear" w:color="auto" w:fill="FFFFFF"/>
            <w:vAlign w:val="center"/>
          </w:tcPr>
          <w:p w14:paraId="34F2D9B1">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7.34</w:t>
            </w:r>
          </w:p>
        </w:tc>
        <w:tc>
          <w:tcPr>
            <w:tcW w:w="1276" w:type="dxa"/>
            <w:tcBorders>
              <w:top w:val="nil"/>
              <w:left w:val="nil"/>
              <w:bottom w:val="single" w:color="000000" w:sz="12" w:space="0"/>
              <w:right w:val="nil"/>
            </w:tcBorders>
            <w:shd w:val="clear" w:color="auto" w:fill="FFFFFF"/>
            <w:noWrap/>
            <w:vAlign w:val="center"/>
          </w:tcPr>
          <w:p w14:paraId="79B67C04">
            <w:pPr>
              <w:widowControl/>
              <w:spacing w:line="360" w:lineRule="auto"/>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0.87</w:t>
            </w:r>
          </w:p>
        </w:tc>
      </w:tr>
    </w:tbl>
    <w:p w14:paraId="16CCE113">
      <w:pPr>
        <w:widowControl/>
        <w:spacing w:line="360" w:lineRule="auto"/>
        <w:ind w:firstLine="480" w:firstLineChars="200"/>
        <w:rPr>
          <w:rFonts w:ascii="Times New Roman" w:hAnsi="Times New Roman" w:eastAsia="宋体" w:cs="Times New Roman"/>
          <w:b/>
          <w:color w:val="333333"/>
          <w:kern w:val="0"/>
          <w:sz w:val="24"/>
        </w:rPr>
      </w:pPr>
      <w:r>
        <w:rPr>
          <w:rFonts w:hint="eastAsia" w:ascii="Times New Roman" w:hAnsi="Times New Roman" w:eastAsia="宋体" w:cs="Times New Roman"/>
          <w:sz w:val="24"/>
          <w:szCs w:val="24"/>
        </w:rPr>
        <w:t>综合中国知网</w:t>
      </w:r>
      <w:r>
        <w:rPr>
          <w:rFonts w:ascii="Times New Roman" w:hAnsi="Times New Roman" w:eastAsia="宋体" w:cs="Times New Roman"/>
          <w:sz w:val="24"/>
          <w:szCs w:val="24"/>
        </w:rPr>
        <w:t>20</w:t>
      </w:r>
      <w:r>
        <w:rPr>
          <w:rFonts w:hint="eastAsia" w:ascii="Times New Roman" w:hAnsi="Times New Roman" w:eastAsia="宋体" w:cs="Times New Roman"/>
          <w:sz w:val="24"/>
          <w:szCs w:val="24"/>
        </w:rPr>
        <w:t>篇论文，</w:t>
      </w:r>
      <w:r>
        <w:rPr>
          <w:rFonts w:ascii="Times New Roman" w:hAnsi="Times New Roman" w:eastAsia="宋体" w:cs="Times New Roman"/>
          <w:sz w:val="24"/>
          <w:szCs w:val="24"/>
        </w:rPr>
        <w:t>皂苷的含量与多糖都不成正比。植物合成通路也有非常大的区别。因此删去皂苷含量。选择</w:t>
      </w:r>
      <w:r>
        <w:rPr>
          <w:rFonts w:hint="eastAsia" w:ascii="Times New Roman" w:hAnsi="Times New Roman" w:eastAsia="宋体" w:cs="Times New Roman"/>
          <w:sz w:val="24"/>
          <w:szCs w:val="24"/>
        </w:rPr>
        <w:t>”多糖“做为含量指标。关于大叶黄精、多花黄精（含江西）的统计分析结果：江西来源多花黄精多糖含量平均在</w:t>
      </w:r>
      <w:r>
        <w:rPr>
          <w:rFonts w:ascii="Times New Roman" w:hAnsi="Times New Roman" w:eastAsia="宋体" w:cs="Times New Roman"/>
          <w:sz w:val="24"/>
          <w:szCs w:val="24"/>
        </w:rPr>
        <w:t>7.5%</w:t>
      </w:r>
      <w:r>
        <w:rPr>
          <w:rFonts w:hint="eastAsia" w:ascii="Times New Roman" w:hAnsi="Times New Roman" w:eastAsia="宋体" w:cs="Times New Roman"/>
          <w:sz w:val="24"/>
          <w:szCs w:val="24"/>
        </w:rPr>
        <w:t>，而大叶黄精全国平均多糖含量在</w:t>
      </w:r>
      <w:r>
        <w:rPr>
          <w:rFonts w:ascii="Times New Roman" w:hAnsi="Times New Roman" w:eastAsia="宋体" w:cs="Times New Roman"/>
          <w:sz w:val="24"/>
          <w:szCs w:val="24"/>
        </w:rPr>
        <w:t>7.3%</w:t>
      </w:r>
      <w:r>
        <w:rPr>
          <w:rFonts w:hint="eastAsia" w:ascii="Times New Roman" w:hAnsi="Times New Roman" w:eastAsia="宋体" w:cs="Times New Roman"/>
          <w:sz w:val="24"/>
          <w:szCs w:val="24"/>
        </w:rPr>
        <w:t>。考虑大生产及样本量的差异，综上所述，我们将本标准的多糖含量定为</w:t>
      </w:r>
      <w:r>
        <w:rPr>
          <w:rFonts w:ascii="Times New Roman" w:hAnsi="Times New Roman" w:eastAsia="宋体" w:cs="Times New Roman"/>
          <w:sz w:val="24"/>
          <w:szCs w:val="24"/>
        </w:rPr>
        <w:t>7.3%</w:t>
      </w:r>
      <w:r>
        <w:rPr>
          <w:rFonts w:hint="eastAsia" w:ascii="Times New Roman" w:hAnsi="Times New Roman" w:eastAsia="宋体" w:cs="Times New Roman"/>
          <w:sz w:val="24"/>
          <w:szCs w:val="24"/>
        </w:rPr>
        <w:t>。</w:t>
      </w:r>
    </w:p>
    <w:p w14:paraId="21F52378">
      <w:pPr>
        <w:pStyle w:val="44"/>
        <w:numPr>
          <w:ilvl w:val="0"/>
          <w:numId w:val="1"/>
        </w:numPr>
        <w:shd w:val="clear" w:color="auto" w:fill="FFFFFF"/>
        <w:spacing w:line="360" w:lineRule="auto"/>
        <w:ind w:left="0" w:firstLine="0" w:firstLineChars="0"/>
        <w:jc w:val="left"/>
        <w:outlineLvl w:val="0"/>
        <w:rPr>
          <w:rFonts w:ascii="Times New Roman" w:hAnsi="Times New Roman" w:eastAsia="宋体" w:cs="Times New Roman"/>
          <w:b/>
          <w:sz w:val="24"/>
          <w:szCs w:val="24"/>
        </w:rPr>
      </w:pPr>
      <w:r>
        <w:rPr>
          <w:rFonts w:ascii="Times New Roman" w:hAnsi="Times New Roman" w:eastAsia="宋体" w:cs="Times New Roman"/>
          <w:b/>
          <w:sz w:val="24"/>
          <w:szCs w:val="24"/>
        </w:rPr>
        <w:t>主要参考文献：</w:t>
      </w:r>
    </w:p>
    <w:p w14:paraId="00F5C5E3">
      <w:pPr>
        <w:pStyle w:val="14"/>
        <w:numPr>
          <w:ilvl w:val="0"/>
          <w:numId w:val="2"/>
        </w:numPr>
        <w:spacing w:line="360" w:lineRule="auto"/>
        <w:ind w:left="420" w:hanging="420" w:hangingChars="200"/>
        <w:jc w:val="both"/>
        <w:rPr>
          <w:rFonts w:ascii="Times New Roman" w:hAnsi="Times New Roman" w:eastAsia="宋体" w:cs="Times New Roman"/>
          <w:szCs w:val="18"/>
        </w:rPr>
      </w:pPr>
      <w:r>
        <w:rPr>
          <w:rFonts w:ascii="Times New Roman" w:hAnsi="Times New Roman" w:eastAsia="宋体" w:cs="Times New Roman"/>
          <w:color w:val="FF0000"/>
          <w:szCs w:val="18"/>
          <w:highlight w:val="yellow"/>
        </w:rPr>
        <w:t>[3]</w:t>
      </w:r>
      <w:r>
        <w:rPr>
          <w:rFonts w:ascii="Times New Roman" w:hAnsi="Times New Roman" w:eastAsia="宋体" w:cs="Times New Roman"/>
          <w:color w:val="FF0000"/>
          <w:szCs w:val="18"/>
        </w:rPr>
        <w:t xml:space="preserve"> </w:t>
      </w:r>
      <w:r>
        <w:rPr>
          <w:rFonts w:hint="eastAsia" w:ascii="Times New Roman" w:hAnsi="Times New Roman" w:eastAsia="宋体" w:cs="Times New Roman"/>
          <w:szCs w:val="18"/>
        </w:rPr>
        <w:t>陈娟</w:t>
      </w:r>
      <w:r>
        <w:rPr>
          <w:rFonts w:ascii="Times New Roman" w:hAnsi="Times New Roman" w:eastAsia="宋体" w:cs="Times New Roman"/>
          <w:szCs w:val="18"/>
        </w:rPr>
        <w:t>,</w:t>
      </w:r>
      <w:r>
        <w:rPr>
          <w:rFonts w:hint="eastAsia" w:ascii="Times New Roman" w:hAnsi="Times New Roman" w:eastAsia="宋体" w:cs="Times New Roman"/>
          <w:szCs w:val="18"/>
        </w:rPr>
        <w:t>李友元</w:t>
      </w:r>
      <w:r>
        <w:rPr>
          <w:rFonts w:ascii="Times New Roman" w:hAnsi="Times New Roman" w:eastAsia="宋体" w:cs="Times New Roman"/>
          <w:szCs w:val="18"/>
        </w:rPr>
        <w:t>,</w:t>
      </w:r>
      <w:r>
        <w:rPr>
          <w:rFonts w:hint="eastAsia" w:ascii="Times New Roman" w:hAnsi="Times New Roman" w:eastAsia="宋体" w:cs="Times New Roman"/>
          <w:szCs w:val="18"/>
        </w:rPr>
        <w:t>田伟</w:t>
      </w:r>
      <w:r>
        <w:rPr>
          <w:rFonts w:ascii="Times New Roman" w:hAnsi="Times New Roman" w:eastAsia="宋体" w:cs="Times New Roman"/>
          <w:szCs w:val="18"/>
        </w:rPr>
        <w:t>,</w:t>
      </w:r>
      <w:r>
        <w:rPr>
          <w:rFonts w:hint="eastAsia" w:ascii="Times New Roman" w:hAnsi="Times New Roman" w:eastAsia="宋体" w:cs="Times New Roman"/>
          <w:szCs w:val="18"/>
        </w:rPr>
        <w:t>成威</w:t>
      </w:r>
      <w:r>
        <w:rPr>
          <w:rFonts w:ascii="Times New Roman" w:hAnsi="Times New Roman" w:eastAsia="宋体" w:cs="Times New Roman"/>
          <w:szCs w:val="18"/>
        </w:rPr>
        <w:t>.</w:t>
      </w:r>
      <w:r>
        <w:rPr>
          <w:rFonts w:hint="eastAsia" w:ascii="Times New Roman" w:hAnsi="Times New Roman" w:eastAsia="宋体" w:cs="Times New Roman"/>
          <w:szCs w:val="18"/>
        </w:rPr>
        <w:t>黄精多糖对帕金森病大鼠脑组织中</w:t>
      </w:r>
      <w:r>
        <w:rPr>
          <w:rFonts w:ascii="Times New Roman" w:hAnsi="Times New Roman" w:eastAsia="宋体" w:cs="Times New Roman"/>
          <w:szCs w:val="18"/>
        </w:rPr>
        <w:t>PPAR-</w:t>
      </w:r>
      <w:r>
        <w:rPr>
          <w:rFonts w:hint="eastAsia" w:ascii="Times New Roman" w:hAnsi="Times New Roman" w:eastAsia="宋体" w:cs="Times New Roman"/>
          <w:szCs w:val="18"/>
        </w:rPr>
        <w:t>γ表达的影响</w:t>
      </w:r>
      <w:r>
        <w:rPr>
          <w:rFonts w:ascii="Times New Roman" w:hAnsi="Times New Roman" w:eastAsia="宋体" w:cs="Times New Roman"/>
          <w:szCs w:val="18"/>
        </w:rPr>
        <w:t>[J].</w:t>
      </w:r>
      <w:r>
        <w:rPr>
          <w:rFonts w:hint="eastAsia" w:ascii="Times New Roman" w:hAnsi="Times New Roman" w:eastAsia="宋体" w:cs="Times New Roman"/>
          <w:szCs w:val="18"/>
        </w:rPr>
        <w:t>现代生物医学进展</w:t>
      </w:r>
      <w:r>
        <w:rPr>
          <w:rFonts w:ascii="Times New Roman" w:hAnsi="Times New Roman" w:eastAsia="宋体" w:cs="Times New Roman"/>
          <w:szCs w:val="18"/>
        </w:rPr>
        <w:t>,2010,10(05):814-817,792.</w:t>
      </w:r>
    </w:p>
    <w:p w14:paraId="15EDCFEA">
      <w:pPr>
        <w:pStyle w:val="14"/>
        <w:numPr>
          <w:ilvl w:val="0"/>
          <w:numId w:val="2"/>
        </w:numPr>
        <w:spacing w:line="360" w:lineRule="auto"/>
        <w:ind w:left="420" w:hanging="420" w:hangingChars="200"/>
        <w:jc w:val="both"/>
        <w:rPr>
          <w:rFonts w:ascii="Times New Roman" w:hAnsi="Times New Roman" w:eastAsia="宋体" w:cs="Times New Roman"/>
          <w:szCs w:val="18"/>
        </w:rPr>
      </w:pPr>
      <w:r>
        <w:rPr>
          <w:rFonts w:ascii="Times New Roman" w:hAnsi="Times New Roman" w:eastAsia="宋体" w:cs="Times New Roman"/>
          <w:color w:val="FF0000"/>
          <w:szCs w:val="18"/>
          <w:highlight w:val="yellow"/>
        </w:rPr>
        <w:t>[4]</w:t>
      </w:r>
      <w:r>
        <w:rPr>
          <w:rFonts w:ascii="Times New Roman" w:hAnsi="Times New Roman" w:eastAsia="宋体" w:cs="Times New Roman"/>
          <w:color w:val="FF0000"/>
          <w:szCs w:val="18"/>
        </w:rPr>
        <w:t xml:space="preserve"> </w:t>
      </w:r>
      <w:r>
        <w:rPr>
          <w:rFonts w:hint="eastAsia" w:ascii="Times New Roman" w:hAnsi="Times New Roman" w:eastAsia="宋体" w:cs="Times New Roman"/>
          <w:szCs w:val="18"/>
        </w:rPr>
        <w:t>安晏</w:t>
      </w:r>
      <w:r>
        <w:rPr>
          <w:rFonts w:ascii="Times New Roman" w:hAnsi="Times New Roman" w:eastAsia="宋体" w:cs="Times New Roman"/>
          <w:szCs w:val="18"/>
        </w:rPr>
        <w:t>,</w:t>
      </w:r>
      <w:r>
        <w:rPr>
          <w:rFonts w:hint="eastAsia" w:ascii="Times New Roman" w:hAnsi="Times New Roman" w:eastAsia="宋体" w:cs="Times New Roman"/>
          <w:szCs w:val="18"/>
        </w:rPr>
        <w:t>李雨杺</w:t>
      </w:r>
      <w:r>
        <w:rPr>
          <w:rFonts w:ascii="Times New Roman" w:hAnsi="Times New Roman" w:eastAsia="宋体" w:cs="Times New Roman"/>
          <w:szCs w:val="18"/>
        </w:rPr>
        <w:t>,</w:t>
      </w:r>
      <w:r>
        <w:rPr>
          <w:rFonts w:hint="eastAsia" w:ascii="Times New Roman" w:hAnsi="Times New Roman" w:eastAsia="宋体" w:cs="Times New Roman"/>
          <w:szCs w:val="18"/>
        </w:rPr>
        <w:t>颜晓静</w:t>
      </w:r>
      <w:r>
        <w:rPr>
          <w:rFonts w:ascii="Times New Roman" w:hAnsi="Times New Roman" w:eastAsia="宋体" w:cs="Times New Roman"/>
          <w:szCs w:val="18"/>
        </w:rPr>
        <w:t>.</w:t>
      </w:r>
      <w:r>
        <w:rPr>
          <w:rFonts w:hint="eastAsia" w:ascii="Times New Roman" w:hAnsi="Times New Roman" w:eastAsia="宋体" w:cs="Times New Roman"/>
          <w:szCs w:val="18"/>
        </w:rPr>
        <w:t>黄精多糖对急性心肌梗死模型大鼠心肌损伤的改善作用</w:t>
      </w:r>
      <w:r>
        <w:rPr>
          <w:rFonts w:ascii="Times New Roman" w:hAnsi="Times New Roman" w:eastAsia="宋体" w:cs="Times New Roman"/>
          <w:szCs w:val="18"/>
        </w:rPr>
        <w:t>[J].</w:t>
      </w:r>
      <w:r>
        <w:rPr>
          <w:rFonts w:hint="eastAsia" w:ascii="Times New Roman" w:hAnsi="Times New Roman" w:eastAsia="宋体" w:cs="Times New Roman"/>
          <w:szCs w:val="18"/>
        </w:rPr>
        <w:t>中国药房</w:t>
      </w:r>
      <w:r>
        <w:rPr>
          <w:rFonts w:ascii="Times New Roman" w:hAnsi="Times New Roman" w:eastAsia="宋体" w:cs="Times New Roman"/>
          <w:szCs w:val="18"/>
        </w:rPr>
        <w:t>,2021,32(13):1572-1577.</w:t>
      </w:r>
    </w:p>
    <w:p w14:paraId="3A7DC74A">
      <w:pPr>
        <w:pStyle w:val="14"/>
        <w:numPr>
          <w:ilvl w:val="0"/>
          <w:numId w:val="2"/>
        </w:numPr>
        <w:spacing w:line="360" w:lineRule="auto"/>
        <w:ind w:left="420" w:hanging="420" w:hangingChars="200"/>
        <w:jc w:val="both"/>
        <w:rPr>
          <w:rFonts w:ascii="Times New Roman" w:hAnsi="Times New Roman" w:eastAsia="宋体" w:cs="Times New Roman"/>
          <w:szCs w:val="18"/>
        </w:rPr>
      </w:pPr>
      <w:r>
        <w:rPr>
          <w:rFonts w:ascii="Times New Roman" w:hAnsi="Times New Roman" w:eastAsia="宋体" w:cs="Times New Roman"/>
          <w:szCs w:val="18"/>
        </w:rPr>
        <w:t xml:space="preserve">[5] </w:t>
      </w:r>
      <w:r>
        <w:rPr>
          <w:rFonts w:hint="eastAsia" w:ascii="Times New Roman" w:hAnsi="Times New Roman" w:eastAsia="宋体" w:cs="Times New Roman"/>
          <w:szCs w:val="18"/>
        </w:rPr>
        <w:t>李超彦</w:t>
      </w:r>
      <w:r>
        <w:rPr>
          <w:rFonts w:ascii="Times New Roman" w:hAnsi="Times New Roman" w:eastAsia="宋体" w:cs="Times New Roman"/>
          <w:szCs w:val="18"/>
        </w:rPr>
        <w:t>,</w:t>
      </w:r>
      <w:r>
        <w:rPr>
          <w:rFonts w:hint="eastAsia" w:ascii="Times New Roman" w:hAnsi="Times New Roman" w:eastAsia="宋体" w:cs="Times New Roman"/>
          <w:szCs w:val="18"/>
        </w:rPr>
        <w:t>周媛媛</w:t>
      </w:r>
      <w:r>
        <w:rPr>
          <w:rFonts w:ascii="Times New Roman" w:hAnsi="Times New Roman" w:eastAsia="宋体" w:cs="Times New Roman"/>
          <w:szCs w:val="18"/>
        </w:rPr>
        <w:t>,</w:t>
      </w:r>
      <w:r>
        <w:rPr>
          <w:rFonts w:hint="eastAsia" w:ascii="Times New Roman" w:hAnsi="Times New Roman" w:eastAsia="宋体" w:cs="Times New Roman"/>
          <w:szCs w:val="18"/>
        </w:rPr>
        <w:t>赵克芳</w:t>
      </w:r>
      <w:r>
        <w:rPr>
          <w:rFonts w:ascii="Times New Roman" w:hAnsi="Times New Roman" w:eastAsia="宋体" w:cs="Times New Roman"/>
          <w:szCs w:val="18"/>
        </w:rPr>
        <w:t>,</w:t>
      </w:r>
      <w:r>
        <w:rPr>
          <w:rFonts w:hint="eastAsia" w:ascii="Times New Roman" w:hAnsi="Times New Roman" w:eastAsia="宋体" w:cs="Times New Roman"/>
          <w:szCs w:val="18"/>
        </w:rPr>
        <w:t>王福青</w:t>
      </w:r>
      <w:r>
        <w:rPr>
          <w:rFonts w:ascii="Times New Roman" w:hAnsi="Times New Roman" w:eastAsia="宋体" w:cs="Times New Roman"/>
          <w:szCs w:val="18"/>
        </w:rPr>
        <w:t>.</w:t>
      </w:r>
      <w:r>
        <w:rPr>
          <w:rFonts w:hint="eastAsia" w:ascii="Times New Roman" w:hAnsi="Times New Roman" w:eastAsia="宋体" w:cs="Times New Roman"/>
          <w:szCs w:val="18"/>
        </w:rPr>
        <w:t>黄精多糖对顺铂致肾损害大鼠的肾功能和抗氧化指标的影响</w:t>
      </w:r>
      <w:r>
        <w:rPr>
          <w:rFonts w:ascii="Times New Roman" w:hAnsi="Times New Roman" w:eastAsia="宋体" w:cs="Times New Roman"/>
          <w:szCs w:val="18"/>
        </w:rPr>
        <w:t>[J].</w:t>
      </w:r>
      <w:r>
        <w:rPr>
          <w:rFonts w:hint="eastAsia" w:ascii="Times New Roman" w:hAnsi="Times New Roman" w:eastAsia="宋体" w:cs="Times New Roman"/>
          <w:szCs w:val="18"/>
        </w:rPr>
        <w:t>中国老年学杂志</w:t>
      </w:r>
      <w:r>
        <w:rPr>
          <w:rFonts w:ascii="Times New Roman" w:hAnsi="Times New Roman" w:eastAsia="宋体" w:cs="Times New Roman"/>
          <w:szCs w:val="18"/>
        </w:rPr>
        <w:t>,2014,34(21):6120-6121.</w:t>
      </w:r>
    </w:p>
    <w:p w14:paraId="530F6883">
      <w:pPr>
        <w:pStyle w:val="14"/>
        <w:numPr>
          <w:ilvl w:val="0"/>
          <w:numId w:val="2"/>
        </w:numPr>
        <w:spacing w:line="360" w:lineRule="auto"/>
        <w:ind w:left="420" w:hanging="420" w:hangingChars="200"/>
        <w:jc w:val="both"/>
        <w:rPr>
          <w:rFonts w:ascii="Times New Roman" w:hAnsi="Times New Roman" w:eastAsia="宋体" w:cs="Times New Roman"/>
          <w:szCs w:val="18"/>
        </w:rPr>
      </w:pPr>
      <w:r>
        <w:rPr>
          <w:rFonts w:ascii="Times New Roman" w:hAnsi="Times New Roman" w:eastAsia="宋体" w:cs="Times New Roman"/>
          <w:color w:val="333333"/>
          <w:szCs w:val="18"/>
        </w:rPr>
        <w:t>[</w:t>
      </w:r>
      <w:r>
        <w:rPr>
          <w:rFonts w:ascii="Times New Roman" w:hAnsi="Times New Roman" w:eastAsia="宋体" w:cs="Times New Roman"/>
          <w:szCs w:val="18"/>
        </w:rPr>
        <w:t>6</w:t>
      </w:r>
      <w:r>
        <w:rPr>
          <w:rFonts w:ascii="Times New Roman" w:hAnsi="Times New Roman" w:eastAsia="宋体" w:cs="Times New Roman"/>
          <w:color w:val="333333"/>
          <w:szCs w:val="18"/>
        </w:rPr>
        <w:t>]</w:t>
      </w:r>
      <w:r>
        <w:rPr>
          <w:rFonts w:ascii="Times New Roman" w:hAnsi="Times New Roman" w:eastAsia="宋体" w:cs="Times New Roman"/>
          <w:szCs w:val="18"/>
        </w:rPr>
        <w:t xml:space="preserve"> </w:t>
      </w:r>
      <w:r>
        <w:rPr>
          <w:rFonts w:hint="eastAsia" w:ascii="Times New Roman" w:hAnsi="Times New Roman" w:eastAsia="宋体" w:cs="Times New Roman"/>
          <w:szCs w:val="18"/>
        </w:rPr>
        <w:t>吕品田</w:t>
      </w:r>
      <w:r>
        <w:rPr>
          <w:rFonts w:ascii="Times New Roman" w:hAnsi="Times New Roman" w:eastAsia="宋体" w:cs="Times New Roman"/>
          <w:szCs w:val="18"/>
        </w:rPr>
        <w:t>,</w:t>
      </w:r>
      <w:r>
        <w:rPr>
          <w:rFonts w:hint="eastAsia" w:ascii="Times New Roman" w:hAnsi="Times New Roman" w:eastAsia="宋体" w:cs="Times New Roman"/>
          <w:szCs w:val="18"/>
        </w:rPr>
        <w:t>段昕波</w:t>
      </w:r>
      <w:r>
        <w:rPr>
          <w:rFonts w:ascii="Times New Roman" w:hAnsi="Times New Roman" w:eastAsia="宋体" w:cs="Times New Roman"/>
          <w:szCs w:val="18"/>
        </w:rPr>
        <w:t>.</w:t>
      </w:r>
      <w:r>
        <w:rPr>
          <w:rFonts w:hint="eastAsia" w:ascii="Times New Roman" w:hAnsi="Times New Roman" w:eastAsia="宋体" w:cs="Times New Roman"/>
          <w:szCs w:val="18"/>
        </w:rPr>
        <w:t>黄精多糖对</w:t>
      </w:r>
      <w:r>
        <w:rPr>
          <w:rFonts w:ascii="Times New Roman" w:hAnsi="Times New Roman" w:eastAsia="宋体" w:cs="Times New Roman"/>
          <w:szCs w:val="18"/>
        </w:rPr>
        <w:t>MFC</w:t>
      </w:r>
      <w:r>
        <w:rPr>
          <w:rFonts w:hint="eastAsia" w:ascii="Times New Roman" w:hAnsi="Times New Roman" w:eastAsia="宋体" w:cs="Times New Roman"/>
          <w:szCs w:val="18"/>
        </w:rPr>
        <w:t>胃癌荷瘤小鼠抑瘤及免疫调节作用</w:t>
      </w:r>
      <w:r>
        <w:rPr>
          <w:rFonts w:ascii="Times New Roman" w:hAnsi="Times New Roman" w:eastAsia="宋体" w:cs="Times New Roman"/>
          <w:szCs w:val="18"/>
        </w:rPr>
        <w:t>[J].</w:t>
      </w:r>
      <w:r>
        <w:rPr>
          <w:rFonts w:hint="eastAsia" w:ascii="Times New Roman" w:hAnsi="Times New Roman" w:eastAsia="宋体" w:cs="Times New Roman"/>
          <w:szCs w:val="18"/>
        </w:rPr>
        <w:t>中成药</w:t>
      </w:r>
      <w:r>
        <w:rPr>
          <w:rFonts w:ascii="Times New Roman" w:hAnsi="Times New Roman" w:eastAsia="宋体" w:cs="Times New Roman"/>
          <w:szCs w:val="18"/>
        </w:rPr>
        <w:t>,2020,42(08):2169-2172.</w:t>
      </w:r>
    </w:p>
    <w:p w14:paraId="012B5473">
      <w:pPr>
        <w:pStyle w:val="14"/>
        <w:numPr>
          <w:ilvl w:val="0"/>
          <w:numId w:val="2"/>
        </w:numPr>
        <w:spacing w:line="360" w:lineRule="auto"/>
        <w:ind w:left="420" w:hanging="420" w:hangingChars="200"/>
        <w:jc w:val="both"/>
        <w:rPr>
          <w:rFonts w:ascii="Times New Roman" w:hAnsi="Times New Roman" w:eastAsia="宋体" w:cs="Times New Roman"/>
          <w:szCs w:val="18"/>
        </w:rPr>
      </w:pPr>
      <w:r>
        <w:rPr>
          <w:rFonts w:ascii="Times New Roman" w:hAnsi="Times New Roman" w:eastAsia="宋体" w:cs="Times New Roman"/>
          <w:szCs w:val="18"/>
        </w:rPr>
        <w:t xml:space="preserve">[7] </w:t>
      </w:r>
      <w:r>
        <w:rPr>
          <w:rFonts w:hint="eastAsia" w:ascii="Times New Roman" w:hAnsi="Times New Roman" w:eastAsia="宋体" w:cs="Times New Roman"/>
          <w:szCs w:val="18"/>
        </w:rPr>
        <w:t>胡康棣</w:t>
      </w:r>
      <w:r>
        <w:rPr>
          <w:rFonts w:ascii="Times New Roman" w:hAnsi="Times New Roman" w:eastAsia="宋体" w:cs="Times New Roman"/>
          <w:szCs w:val="18"/>
        </w:rPr>
        <w:t>,</w:t>
      </w:r>
      <w:r>
        <w:rPr>
          <w:rFonts w:hint="eastAsia" w:ascii="Times New Roman" w:hAnsi="Times New Roman" w:eastAsia="宋体" w:cs="Times New Roman"/>
          <w:szCs w:val="18"/>
        </w:rPr>
        <w:t>李昌林</w:t>
      </w:r>
      <w:r>
        <w:rPr>
          <w:rFonts w:ascii="Times New Roman" w:hAnsi="Times New Roman" w:eastAsia="宋体" w:cs="Times New Roman"/>
          <w:szCs w:val="18"/>
        </w:rPr>
        <w:t>,</w:t>
      </w:r>
      <w:r>
        <w:rPr>
          <w:rFonts w:hint="eastAsia" w:ascii="Times New Roman" w:hAnsi="Times New Roman" w:eastAsia="宋体" w:cs="Times New Roman"/>
          <w:szCs w:val="18"/>
        </w:rPr>
        <w:t>李昌素</w:t>
      </w:r>
      <w:r>
        <w:rPr>
          <w:rFonts w:ascii="Times New Roman" w:hAnsi="Times New Roman" w:eastAsia="宋体" w:cs="Times New Roman"/>
          <w:szCs w:val="18"/>
        </w:rPr>
        <w:t>,</w:t>
      </w:r>
      <w:r>
        <w:rPr>
          <w:rFonts w:hint="eastAsia" w:ascii="Times New Roman" w:hAnsi="Times New Roman" w:eastAsia="宋体" w:cs="Times New Roman"/>
          <w:szCs w:val="18"/>
        </w:rPr>
        <w:t>孙蕊蕊</w:t>
      </w:r>
      <w:r>
        <w:rPr>
          <w:rFonts w:ascii="Times New Roman" w:hAnsi="Times New Roman" w:eastAsia="宋体" w:cs="Times New Roman"/>
          <w:szCs w:val="18"/>
        </w:rPr>
        <w:t>,</w:t>
      </w:r>
      <w:r>
        <w:rPr>
          <w:rFonts w:hint="eastAsia" w:ascii="Times New Roman" w:hAnsi="Times New Roman" w:eastAsia="宋体" w:cs="Times New Roman"/>
          <w:szCs w:val="18"/>
        </w:rPr>
        <w:t>李莹</w:t>
      </w:r>
      <w:r>
        <w:rPr>
          <w:rFonts w:ascii="Times New Roman" w:hAnsi="Times New Roman" w:eastAsia="宋体" w:cs="Times New Roman"/>
          <w:szCs w:val="18"/>
        </w:rPr>
        <w:t>,</w:t>
      </w:r>
      <w:r>
        <w:rPr>
          <w:rFonts w:hint="eastAsia" w:ascii="Times New Roman" w:hAnsi="Times New Roman" w:eastAsia="宋体" w:cs="Times New Roman"/>
          <w:szCs w:val="18"/>
        </w:rPr>
        <w:t>姚改芳</w:t>
      </w:r>
      <w:r>
        <w:rPr>
          <w:rFonts w:ascii="Times New Roman" w:hAnsi="Times New Roman" w:eastAsia="宋体" w:cs="Times New Roman"/>
          <w:szCs w:val="18"/>
        </w:rPr>
        <w:t>.</w:t>
      </w:r>
      <w:r>
        <w:rPr>
          <w:rFonts w:hint="eastAsia" w:ascii="Times New Roman" w:hAnsi="Times New Roman" w:eastAsia="宋体" w:cs="Times New Roman"/>
          <w:szCs w:val="18"/>
        </w:rPr>
        <w:t>黄精功能成分的研究进展</w:t>
      </w:r>
      <w:r>
        <w:rPr>
          <w:rFonts w:ascii="Times New Roman" w:hAnsi="Times New Roman" w:eastAsia="宋体" w:cs="Times New Roman"/>
          <w:szCs w:val="18"/>
        </w:rPr>
        <w:t>[J].</w:t>
      </w:r>
      <w:r>
        <w:rPr>
          <w:rFonts w:hint="eastAsia" w:ascii="Times New Roman" w:hAnsi="Times New Roman" w:eastAsia="宋体" w:cs="Times New Roman"/>
          <w:szCs w:val="18"/>
        </w:rPr>
        <w:t>安徽农业科学</w:t>
      </w:r>
      <w:r>
        <w:rPr>
          <w:rFonts w:ascii="Times New Roman" w:hAnsi="Times New Roman" w:eastAsia="宋体" w:cs="Times New Roman"/>
          <w:szCs w:val="18"/>
        </w:rPr>
        <w:t>,2021,49(12):16-18.</w:t>
      </w:r>
    </w:p>
    <w:p w14:paraId="037AA6C2">
      <w:pPr>
        <w:pStyle w:val="14"/>
        <w:numPr>
          <w:ilvl w:val="0"/>
          <w:numId w:val="2"/>
        </w:numPr>
        <w:spacing w:line="360" w:lineRule="auto"/>
        <w:ind w:left="420" w:hanging="420" w:hangingChars="200"/>
        <w:jc w:val="both"/>
        <w:rPr>
          <w:rFonts w:ascii="Times New Roman" w:hAnsi="Times New Roman" w:eastAsia="宋体" w:cs="Times New Roman"/>
          <w:szCs w:val="18"/>
        </w:rPr>
      </w:pPr>
      <w:r>
        <w:rPr>
          <w:rFonts w:ascii="Times New Roman" w:hAnsi="Times New Roman" w:eastAsia="宋体" w:cs="Times New Roman"/>
          <w:szCs w:val="18"/>
        </w:rPr>
        <w:t xml:space="preserve">[8] </w:t>
      </w:r>
      <w:r>
        <w:rPr>
          <w:rFonts w:hint="eastAsia" w:ascii="Times New Roman" w:hAnsi="Times New Roman" w:eastAsia="宋体" w:cs="Times New Roman"/>
          <w:szCs w:val="18"/>
        </w:rPr>
        <w:t>黄帝</w:t>
      </w:r>
      <w:r>
        <w:rPr>
          <w:rFonts w:ascii="Times New Roman" w:hAnsi="Times New Roman" w:eastAsia="宋体" w:cs="Times New Roman"/>
          <w:szCs w:val="18"/>
        </w:rPr>
        <w:t>.</w:t>
      </w:r>
      <w:r>
        <w:rPr>
          <w:rFonts w:hint="eastAsia" w:ascii="Times New Roman" w:hAnsi="Times New Roman" w:eastAsia="宋体" w:cs="Times New Roman"/>
          <w:szCs w:val="18"/>
        </w:rPr>
        <w:t>黄帝内经:上册</w:t>
      </w:r>
      <w:r>
        <w:rPr>
          <w:rFonts w:ascii="Times New Roman" w:hAnsi="Times New Roman" w:eastAsia="宋体" w:cs="Times New Roman"/>
          <w:szCs w:val="18"/>
        </w:rPr>
        <w:t>[M].</w:t>
      </w:r>
      <w:r>
        <w:rPr>
          <w:rFonts w:hint="eastAsia" w:ascii="Times New Roman" w:hAnsi="Times New Roman" w:eastAsia="宋体" w:cs="Times New Roman"/>
          <w:szCs w:val="18"/>
        </w:rPr>
        <w:t>哈尔滨:黑龙江人民卫生出版社</w:t>
      </w:r>
      <w:r>
        <w:rPr>
          <w:rFonts w:ascii="Times New Roman" w:hAnsi="Times New Roman" w:eastAsia="宋体" w:cs="Times New Roman"/>
          <w:szCs w:val="18"/>
        </w:rPr>
        <w:t>,2004</w:t>
      </w:r>
      <w:r>
        <w:rPr>
          <w:rFonts w:hint="eastAsia" w:ascii="Times New Roman" w:hAnsi="Times New Roman" w:eastAsia="宋体" w:cs="Times New Roman"/>
          <w:szCs w:val="18"/>
        </w:rPr>
        <w:t>.</w:t>
      </w:r>
    </w:p>
    <w:p w14:paraId="13FE560C">
      <w:pPr>
        <w:numPr>
          <w:ilvl w:val="0"/>
          <w:numId w:val="2"/>
        </w:numPr>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 xml:space="preserve">[9] </w:t>
      </w:r>
      <w:r>
        <w:rPr>
          <w:rFonts w:hint="eastAsia" w:ascii="Times New Roman" w:hAnsi="Times New Roman" w:eastAsia="宋体" w:cs="Times New Roman"/>
          <w:szCs w:val="18"/>
        </w:rPr>
        <w:t>国家药典委员会</w:t>
      </w:r>
      <w:r>
        <w:rPr>
          <w:rFonts w:ascii="Times New Roman" w:hAnsi="Times New Roman" w:eastAsia="宋体" w:cs="Times New Roman"/>
          <w:szCs w:val="18"/>
        </w:rPr>
        <w:t>.</w:t>
      </w:r>
      <w:r>
        <w:rPr>
          <w:rFonts w:hint="eastAsia" w:ascii="Times New Roman" w:hAnsi="Times New Roman" w:eastAsia="宋体" w:cs="Times New Roman"/>
          <w:szCs w:val="18"/>
        </w:rPr>
        <w:t>中华人民共和国药典:一部</w:t>
      </w:r>
      <w:r>
        <w:rPr>
          <w:rFonts w:ascii="Times New Roman" w:hAnsi="Times New Roman" w:eastAsia="宋体" w:cs="Times New Roman"/>
          <w:szCs w:val="18"/>
        </w:rPr>
        <w:t>[M].</w:t>
      </w:r>
      <w:r>
        <w:rPr>
          <w:rFonts w:hint="eastAsia" w:ascii="Times New Roman" w:hAnsi="Times New Roman" w:eastAsia="宋体" w:cs="Times New Roman"/>
          <w:szCs w:val="18"/>
        </w:rPr>
        <w:t>北京:中国医药科技出版社</w:t>
      </w:r>
      <w:r>
        <w:rPr>
          <w:rFonts w:ascii="Times New Roman" w:hAnsi="Times New Roman" w:eastAsia="宋体" w:cs="Times New Roman"/>
          <w:szCs w:val="18"/>
        </w:rPr>
        <w:t>,2020</w:t>
      </w:r>
      <w:r>
        <w:rPr>
          <w:rFonts w:hint="eastAsia" w:ascii="Times New Roman" w:hAnsi="Times New Roman" w:eastAsia="宋体" w:cs="Times New Roman"/>
          <w:szCs w:val="18"/>
        </w:rPr>
        <w:t>:</w:t>
      </w:r>
      <w:r>
        <w:rPr>
          <w:rFonts w:ascii="Times New Roman" w:hAnsi="Times New Roman" w:eastAsia="宋体" w:cs="Times New Roman"/>
          <w:szCs w:val="18"/>
        </w:rPr>
        <w:t>319.</w:t>
      </w:r>
    </w:p>
    <w:p w14:paraId="55C00F87">
      <w:pPr>
        <w:numPr>
          <w:ilvl w:val="0"/>
          <w:numId w:val="2"/>
        </w:numPr>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 xml:space="preserve">[10] </w:t>
      </w:r>
      <w:r>
        <w:rPr>
          <w:rFonts w:hint="eastAsia" w:ascii="Times New Roman" w:hAnsi="Times New Roman" w:eastAsia="宋体" w:cs="Times New Roman"/>
          <w:szCs w:val="18"/>
        </w:rPr>
        <w:t>卫生部药典委员会</w:t>
      </w:r>
      <w:r>
        <w:rPr>
          <w:rFonts w:ascii="Times New Roman" w:hAnsi="Times New Roman" w:eastAsia="宋体" w:cs="Times New Roman"/>
          <w:szCs w:val="18"/>
        </w:rPr>
        <w:t>.</w:t>
      </w:r>
      <w:r>
        <w:rPr>
          <w:rFonts w:hint="eastAsia" w:ascii="Times New Roman" w:hAnsi="Times New Roman" w:eastAsia="宋体" w:cs="Times New Roman"/>
          <w:szCs w:val="18"/>
        </w:rPr>
        <w:t>中华人民共和国药典:一部</w:t>
      </w:r>
      <w:r>
        <w:rPr>
          <w:rFonts w:ascii="Times New Roman" w:hAnsi="Times New Roman" w:eastAsia="宋体" w:cs="Times New Roman"/>
          <w:szCs w:val="18"/>
        </w:rPr>
        <w:t>[M].</w:t>
      </w:r>
      <w:r>
        <w:rPr>
          <w:rFonts w:hint="eastAsia" w:ascii="Times New Roman" w:hAnsi="Times New Roman" w:eastAsia="宋体" w:cs="Times New Roman"/>
          <w:szCs w:val="18"/>
        </w:rPr>
        <w:t>北京:人民卫生出版社</w:t>
      </w:r>
      <w:r>
        <w:rPr>
          <w:rFonts w:ascii="Times New Roman" w:hAnsi="Times New Roman" w:eastAsia="宋体" w:cs="Times New Roman"/>
          <w:szCs w:val="18"/>
        </w:rPr>
        <w:t>,1964</w:t>
      </w:r>
      <w:r>
        <w:rPr>
          <w:rFonts w:hint="eastAsia" w:ascii="Times New Roman" w:hAnsi="Times New Roman" w:eastAsia="宋体" w:cs="Times New Roman"/>
          <w:szCs w:val="18"/>
        </w:rPr>
        <w:t>:</w:t>
      </w:r>
      <w:r>
        <w:rPr>
          <w:rFonts w:ascii="Times New Roman" w:hAnsi="Times New Roman" w:eastAsia="宋体" w:cs="Times New Roman"/>
          <w:szCs w:val="18"/>
        </w:rPr>
        <w:t>270.</w:t>
      </w:r>
    </w:p>
    <w:p w14:paraId="67405995">
      <w:pPr>
        <w:numPr>
          <w:ilvl w:val="0"/>
          <w:numId w:val="2"/>
        </w:numPr>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 xml:space="preserve">[11] </w:t>
      </w:r>
      <w:r>
        <w:rPr>
          <w:rFonts w:hint="eastAsia" w:ascii="Times New Roman" w:hAnsi="Times New Roman" w:eastAsia="宋体" w:cs="Times New Roman"/>
          <w:szCs w:val="18"/>
        </w:rPr>
        <w:t>陶弘景集</w:t>
      </w:r>
      <w:r>
        <w:rPr>
          <w:rFonts w:ascii="Times New Roman" w:hAnsi="Times New Roman" w:eastAsia="宋体" w:cs="Times New Roman"/>
          <w:szCs w:val="18"/>
        </w:rPr>
        <w:t>.</w:t>
      </w:r>
      <w:r>
        <w:rPr>
          <w:rFonts w:hint="eastAsia" w:ascii="Times New Roman" w:hAnsi="Times New Roman" w:eastAsia="宋体" w:cs="Times New Roman"/>
          <w:szCs w:val="18"/>
        </w:rPr>
        <w:t>名医别录</w:t>
      </w:r>
      <w:r>
        <w:rPr>
          <w:rFonts w:ascii="Times New Roman" w:hAnsi="Times New Roman" w:eastAsia="宋体" w:cs="Times New Roman"/>
          <w:szCs w:val="18"/>
        </w:rPr>
        <w:t>[M].</w:t>
      </w:r>
      <w:r>
        <w:rPr>
          <w:rFonts w:hint="eastAsia" w:ascii="Times New Roman" w:hAnsi="Times New Roman" w:eastAsia="宋体" w:cs="Times New Roman"/>
          <w:szCs w:val="18"/>
        </w:rPr>
        <w:t>尚志钧辑校</w:t>
      </w:r>
      <w:r>
        <w:rPr>
          <w:rFonts w:ascii="Times New Roman" w:hAnsi="Times New Roman" w:eastAsia="宋体" w:cs="Times New Roman"/>
          <w:szCs w:val="18"/>
        </w:rPr>
        <w:t>.</w:t>
      </w:r>
      <w:r>
        <w:rPr>
          <w:rFonts w:hint="eastAsia" w:ascii="Times New Roman" w:hAnsi="Times New Roman" w:eastAsia="宋体" w:cs="Times New Roman"/>
          <w:szCs w:val="18"/>
        </w:rPr>
        <w:t>北京:人民卫生出版社</w:t>
      </w:r>
      <w:r>
        <w:rPr>
          <w:rFonts w:ascii="Times New Roman" w:hAnsi="Times New Roman" w:eastAsia="宋体" w:cs="Times New Roman"/>
          <w:szCs w:val="18"/>
        </w:rPr>
        <w:t>,1998</w:t>
      </w:r>
      <w:r>
        <w:rPr>
          <w:rFonts w:hint="eastAsia" w:ascii="Times New Roman" w:hAnsi="Times New Roman" w:eastAsia="宋体" w:cs="Times New Roman"/>
          <w:szCs w:val="18"/>
        </w:rPr>
        <w:t>:</w:t>
      </w:r>
      <w:r>
        <w:rPr>
          <w:rFonts w:ascii="Times New Roman" w:hAnsi="Times New Roman" w:eastAsia="宋体" w:cs="Times New Roman"/>
          <w:szCs w:val="18"/>
        </w:rPr>
        <w:t>23.</w:t>
      </w:r>
    </w:p>
    <w:p w14:paraId="391AA616">
      <w:pPr>
        <w:numPr>
          <w:ilvl w:val="0"/>
          <w:numId w:val="2"/>
        </w:numPr>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 xml:space="preserve">[12] </w:t>
      </w:r>
      <w:r>
        <w:rPr>
          <w:rFonts w:hint="eastAsia" w:ascii="Times New Roman" w:hAnsi="Times New Roman" w:eastAsia="宋体" w:cs="Times New Roman"/>
          <w:szCs w:val="18"/>
        </w:rPr>
        <w:t>陶弘景</w:t>
      </w:r>
      <w:r>
        <w:rPr>
          <w:rFonts w:ascii="Times New Roman" w:hAnsi="Times New Roman" w:eastAsia="宋体" w:cs="Times New Roman"/>
          <w:szCs w:val="18"/>
        </w:rPr>
        <w:t>.</w:t>
      </w:r>
      <w:r>
        <w:rPr>
          <w:rFonts w:hint="eastAsia" w:ascii="Times New Roman" w:hAnsi="Times New Roman" w:eastAsia="宋体" w:cs="Times New Roman"/>
          <w:szCs w:val="18"/>
        </w:rPr>
        <w:t>本草经集注</w:t>
      </w:r>
      <w:r>
        <w:rPr>
          <w:rFonts w:ascii="Times New Roman" w:hAnsi="Times New Roman" w:eastAsia="宋体" w:cs="Times New Roman"/>
          <w:szCs w:val="18"/>
        </w:rPr>
        <w:t>[M].</w:t>
      </w:r>
      <w:r>
        <w:rPr>
          <w:rFonts w:hint="eastAsia" w:ascii="Times New Roman" w:hAnsi="Times New Roman" w:eastAsia="宋体" w:cs="Times New Roman"/>
          <w:szCs w:val="18"/>
        </w:rPr>
        <w:t>尚志钧辑校</w:t>
      </w:r>
      <w:r>
        <w:rPr>
          <w:rFonts w:ascii="Times New Roman" w:hAnsi="Times New Roman" w:eastAsia="宋体" w:cs="Times New Roman"/>
          <w:szCs w:val="18"/>
        </w:rPr>
        <w:t>.</w:t>
      </w:r>
      <w:r>
        <w:rPr>
          <w:rFonts w:hint="eastAsia" w:ascii="Times New Roman" w:hAnsi="Times New Roman" w:eastAsia="宋体" w:cs="Times New Roman"/>
          <w:szCs w:val="18"/>
        </w:rPr>
        <w:t>北京:人民卫生出版社</w:t>
      </w:r>
      <w:r>
        <w:rPr>
          <w:rFonts w:ascii="Times New Roman" w:hAnsi="Times New Roman" w:eastAsia="宋体" w:cs="Times New Roman"/>
          <w:szCs w:val="18"/>
        </w:rPr>
        <w:t>,1994</w:t>
      </w:r>
      <w:r>
        <w:rPr>
          <w:rFonts w:hint="eastAsia" w:ascii="Times New Roman" w:hAnsi="Times New Roman" w:eastAsia="宋体" w:cs="Times New Roman"/>
          <w:szCs w:val="18"/>
        </w:rPr>
        <w:t>:</w:t>
      </w:r>
      <w:r>
        <w:rPr>
          <w:rFonts w:ascii="Times New Roman" w:hAnsi="Times New Roman" w:eastAsia="宋体" w:cs="Times New Roman"/>
          <w:szCs w:val="18"/>
        </w:rPr>
        <w:t>198-199,335.</w:t>
      </w:r>
    </w:p>
    <w:p w14:paraId="5368B5EE">
      <w:pPr>
        <w:numPr>
          <w:ilvl w:val="0"/>
          <w:numId w:val="2"/>
        </w:numPr>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 xml:space="preserve">[13] </w:t>
      </w:r>
      <w:r>
        <w:rPr>
          <w:rFonts w:hint="eastAsia" w:ascii="Times New Roman" w:hAnsi="Times New Roman" w:eastAsia="宋体" w:cs="Times New Roman"/>
          <w:szCs w:val="18"/>
        </w:rPr>
        <w:t>苏敬</w:t>
      </w:r>
      <w:r>
        <w:rPr>
          <w:rFonts w:ascii="Times New Roman" w:hAnsi="Times New Roman" w:eastAsia="宋体" w:cs="Times New Roman"/>
          <w:szCs w:val="18"/>
        </w:rPr>
        <w:t>.</w:t>
      </w:r>
      <w:r>
        <w:rPr>
          <w:rFonts w:hint="eastAsia" w:ascii="Times New Roman" w:hAnsi="Times New Roman" w:eastAsia="宋体" w:cs="Times New Roman"/>
          <w:szCs w:val="18"/>
        </w:rPr>
        <w:t>新修本草</w:t>
      </w:r>
      <w:r>
        <w:rPr>
          <w:rFonts w:ascii="Times New Roman" w:hAnsi="Times New Roman" w:eastAsia="宋体" w:cs="Times New Roman"/>
          <w:szCs w:val="18"/>
        </w:rPr>
        <w:t>[M].</w:t>
      </w:r>
      <w:r>
        <w:rPr>
          <w:rFonts w:hint="eastAsia" w:ascii="Times New Roman" w:hAnsi="Times New Roman" w:eastAsia="宋体" w:cs="Times New Roman"/>
          <w:szCs w:val="18"/>
        </w:rPr>
        <w:t>尚志钧辑校</w:t>
      </w:r>
      <w:r>
        <w:rPr>
          <w:rFonts w:ascii="Times New Roman" w:hAnsi="Times New Roman" w:eastAsia="宋体" w:cs="Times New Roman"/>
          <w:szCs w:val="18"/>
        </w:rPr>
        <w:t>.</w:t>
      </w:r>
      <w:r>
        <w:rPr>
          <w:rFonts w:hint="eastAsia" w:ascii="Times New Roman" w:hAnsi="Times New Roman" w:eastAsia="宋体" w:cs="Times New Roman"/>
          <w:szCs w:val="18"/>
        </w:rPr>
        <w:t>安徽:安徽科学技术出版社</w:t>
      </w:r>
      <w:r>
        <w:rPr>
          <w:rFonts w:ascii="Times New Roman" w:hAnsi="Times New Roman" w:eastAsia="宋体" w:cs="Times New Roman"/>
          <w:szCs w:val="18"/>
        </w:rPr>
        <w:t>,2005</w:t>
      </w:r>
      <w:r>
        <w:rPr>
          <w:rFonts w:hint="eastAsia" w:ascii="Times New Roman" w:hAnsi="Times New Roman" w:eastAsia="宋体" w:cs="Times New Roman"/>
          <w:szCs w:val="18"/>
        </w:rPr>
        <w:t>:</w:t>
      </w:r>
      <w:r>
        <w:rPr>
          <w:rFonts w:ascii="Times New Roman" w:hAnsi="Times New Roman" w:eastAsia="宋体" w:cs="Times New Roman"/>
          <w:szCs w:val="18"/>
        </w:rPr>
        <w:t>153-154.</w:t>
      </w:r>
    </w:p>
    <w:p w14:paraId="7769A986">
      <w:pPr>
        <w:numPr>
          <w:ilvl w:val="0"/>
          <w:numId w:val="2"/>
        </w:numPr>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 xml:space="preserve">[14] </w:t>
      </w:r>
      <w:r>
        <w:rPr>
          <w:rFonts w:hint="eastAsia" w:ascii="Times New Roman" w:hAnsi="Times New Roman" w:eastAsia="宋体" w:cs="Times New Roman"/>
          <w:szCs w:val="18"/>
        </w:rPr>
        <w:t>苏颂</w:t>
      </w:r>
      <w:r>
        <w:rPr>
          <w:rFonts w:ascii="Times New Roman" w:hAnsi="Times New Roman" w:eastAsia="宋体" w:cs="Times New Roman"/>
          <w:szCs w:val="18"/>
        </w:rPr>
        <w:t>.</w:t>
      </w:r>
      <w:r>
        <w:rPr>
          <w:rFonts w:hint="eastAsia" w:ascii="Times New Roman" w:hAnsi="Times New Roman" w:eastAsia="宋体" w:cs="Times New Roman"/>
          <w:szCs w:val="18"/>
        </w:rPr>
        <w:t>本草图经</w:t>
      </w:r>
      <w:r>
        <w:rPr>
          <w:rFonts w:ascii="Times New Roman" w:hAnsi="Times New Roman" w:eastAsia="宋体" w:cs="Times New Roman"/>
          <w:szCs w:val="18"/>
        </w:rPr>
        <w:t>[M].</w:t>
      </w:r>
      <w:r>
        <w:rPr>
          <w:rFonts w:hint="eastAsia" w:ascii="Times New Roman" w:hAnsi="Times New Roman" w:eastAsia="宋体" w:cs="Times New Roman"/>
          <w:szCs w:val="18"/>
        </w:rPr>
        <w:t>尚志钧辑校</w:t>
      </w:r>
      <w:r>
        <w:rPr>
          <w:rFonts w:ascii="Times New Roman" w:hAnsi="Times New Roman" w:eastAsia="宋体" w:cs="Times New Roman"/>
          <w:szCs w:val="18"/>
        </w:rPr>
        <w:t>.</w:t>
      </w:r>
      <w:r>
        <w:rPr>
          <w:rFonts w:hint="eastAsia" w:ascii="Times New Roman" w:hAnsi="Times New Roman" w:eastAsia="宋体" w:cs="Times New Roman"/>
          <w:szCs w:val="18"/>
        </w:rPr>
        <w:t>合肥:安徽科学技术出版社</w:t>
      </w:r>
      <w:r>
        <w:rPr>
          <w:rFonts w:ascii="Times New Roman" w:hAnsi="Times New Roman" w:eastAsia="宋体" w:cs="Times New Roman"/>
          <w:szCs w:val="18"/>
        </w:rPr>
        <w:t>,1994</w:t>
      </w:r>
      <w:r>
        <w:rPr>
          <w:rFonts w:hint="eastAsia" w:ascii="Times New Roman" w:hAnsi="Times New Roman" w:eastAsia="宋体" w:cs="Times New Roman"/>
          <w:szCs w:val="18"/>
        </w:rPr>
        <w:t>:</w:t>
      </w:r>
      <w:r>
        <w:rPr>
          <w:rFonts w:ascii="Times New Roman" w:hAnsi="Times New Roman" w:eastAsia="宋体" w:cs="Times New Roman"/>
          <w:szCs w:val="18"/>
        </w:rPr>
        <w:t>77-79.</w:t>
      </w:r>
    </w:p>
    <w:p w14:paraId="22B48AFD">
      <w:pPr>
        <w:numPr>
          <w:ilvl w:val="0"/>
          <w:numId w:val="2"/>
        </w:numPr>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 xml:space="preserve">[15] </w:t>
      </w:r>
      <w:r>
        <w:rPr>
          <w:rFonts w:hint="eastAsia" w:ascii="Times New Roman" w:hAnsi="Times New Roman" w:eastAsia="宋体" w:cs="Times New Roman"/>
          <w:szCs w:val="18"/>
        </w:rPr>
        <w:t>李时珍</w:t>
      </w:r>
      <w:r>
        <w:rPr>
          <w:rFonts w:ascii="Times New Roman" w:hAnsi="Times New Roman" w:eastAsia="宋体" w:cs="Times New Roman"/>
          <w:szCs w:val="18"/>
        </w:rPr>
        <w:t>.</w:t>
      </w:r>
      <w:r>
        <w:rPr>
          <w:rFonts w:hint="eastAsia" w:ascii="Times New Roman" w:hAnsi="Times New Roman" w:eastAsia="宋体" w:cs="Times New Roman"/>
          <w:szCs w:val="18"/>
        </w:rPr>
        <w:t>本草纲目</w:t>
      </w:r>
      <w:r>
        <w:rPr>
          <w:rFonts w:ascii="Times New Roman" w:hAnsi="Times New Roman" w:eastAsia="宋体" w:cs="Times New Roman"/>
          <w:szCs w:val="18"/>
        </w:rPr>
        <w:t>[M].</w:t>
      </w:r>
      <w:r>
        <w:rPr>
          <w:rFonts w:hint="eastAsia" w:ascii="Times New Roman" w:hAnsi="Times New Roman" w:eastAsia="宋体" w:cs="Times New Roman"/>
          <w:szCs w:val="18"/>
        </w:rPr>
        <w:t>刘衡如点校</w:t>
      </w:r>
      <w:r>
        <w:rPr>
          <w:rFonts w:ascii="Times New Roman" w:hAnsi="Times New Roman" w:eastAsia="宋体" w:cs="Times New Roman"/>
          <w:szCs w:val="18"/>
        </w:rPr>
        <w:t>.</w:t>
      </w:r>
      <w:r>
        <w:rPr>
          <w:rFonts w:hint="eastAsia" w:ascii="Times New Roman" w:hAnsi="Times New Roman" w:eastAsia="宋体" w:cs="Times New Roman"/>
          <w:szCs w:val="18"/>
        </w:rPr>
        <w:t>北京:人民卫生出版社</w:t>
      </w:r>
      <w:r>
        <w:rPr>
          <w:rFonts w:ascii="Times New Roman" w:hAnsi="Times New Roman" w:eastAsia="宋体" w:cs="Times New Roman"/>
          <w:szCs w:val="18"/>
        </w:rPr>
        <w:t>,1982</w:t>
      </w:r>
      <w:r>
        <w:rPr>
          <w:rFonts w:hint="eastAsia" w:ascii="Times New Roman" w:hAnsi="Times New Roman" w:eastAsia="宋体" w:cs="Times New Roman"/>
          <w:szCs w:val="18"/>
        </w:rPr>
        <w:t>:</w:t>
      </w:r>
      <w:r>
        <w:rPr>
          <w:rFonts w:ascii="Times New Roman" w:hAnsi="Times New Roman" w:eastAsia="宋体" w:cs="Times New Roman"/>
          <w:szCs w:val="18"/>
        </w:rPr>
        <w:t>718-720.</w:t>
      </w:r>
    </w:p>
    <w:p w14:paraId="1784C83C">
      <w:pPr>
        <w:numPr>
          <w:ilvl w:val="0"/>
          <w:numId w:val="2"/>
        </w:numPr>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 xml:space="preserve">[16] </w:t>
      </w:r>
      <w:r>
        <w:rPr>
          <w:rFonts w:hint="eastAsia" w:ascii="Times New Roman" w:hAnsi="Times New Roman" w:eastAsia="宋体" w:cs="Times New Roman"/>
          <w:szCs w:val="18"/>
        </w:rPr>
        <w:t>汪讱庵.本草易读［</w:t>
      </w:r>
      <w:r>
        <w:rPr>
          <w:rFonts w:ascii="Times New Roman" w:hAnsi="Times New Roman" w:eastAsia="宋体" w:cs="Times New Roman"/>
          <w:szCs w:val="18"/>
        </w:rPr>
        <w:t>M</w:t>
      </w:r>
      <w:r>
        <w:rPr>
          <w:rFonts w:hint="eastAsia" w:ascii="Times New Roman" w:hAnsi="Times New Roman" w:eastAsia="宋体" w:cs="Times New Roman"/>
          <w:szCs w:val="18"/>
        </w:rPr>
        <w:t>］.北京</w:t>
      </w:r>
      <w:r>
        <w:rPr>
          <w:rFonts w:ascii="Times New Roman" w:hAnsi="Times New Roman" w:eastAsia="宋体" w:cs="Times New Roman"/>
          <w:szCs w:val="18"/>
        </w:rPr>
        <w:t xml:space="preserve">: </w:t>
      </w:r>
      <w:r>
        <w:rPr>
          <w:rFonts w:hint="eastAsia" w:ascii="Times New Roman" w:hAnsi="Times New Roman" w:eastAsia="宋体" w:cs="Times New Roman"/>
          <w:szCs w:val="18"/>
        </w:rPr>
        <w:t>人民卫生出版社</w:t>
      </w:r>
      <w:r>
        <w:rPr>
          <w:rFonts w:ascii="Times New Roman" w:hAnsi="Times New Roman" w:eastAsia="宋体" w:cs="Times New Roman"/>
          <w:szCs w:val="18"/>
        </w:rPr>
        <w:t>,1987: 213</w:t>
      </w:r>
      <w:r>
        <w:rPr>
          <w:rFonts w:hint="eastAsia" w:ascii="Times New Roman" w:hAnsi="Times New Roman" w:eastAsia="宋体" w:cs="Times New Roman"/>
          <w:szCs w:val="18"/>
        </w:rPr>
        <w:t>.</w:t>
      </w:r>
    </w:p>
    <w:p w14:paraId="797381A5">
      <w:pPr>
        <w:numPr>
          <w:ilvl w:val="0"/>
          <w:numId w:val="2"/>
        </w:numPr>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 xml:space="preserve">[17] </w:t>
      </w:r>
      <w:r>
        <w:rPr>
          <w:rFonts w:hint="eastAsia" w:ascii="Times New Roman" w:hAnsi="Times New Roman" w:eastAsia="宋体" w:cs="Times New Roman"/>
          <w:szCs w:val="18"/>
        </w:rPr>
        <w:t>卫生部药典委员会</w:t>
      </w:r>
      <w:r>
        <w:rPr>
          <w:rFonts w:ascii="Times New Roman" w:hAnsi="Times New Roman" w:eastAsia="宋体" w:cs="Times New Roman"/>
          <w:szCs w:val="18"/>
        </w:rPr>
        <w:t>.</w:t>
      </w:r>
      <w:r>
        <w:rPr>
          <w:rFonts w:hint="eastAsia" w:ascii="Times New Roman" w:hAnsi="Times New Roman" w:eastAsia="宋体" w:cs="Times New Roman"/>
          <w:szCs w:val="18"/>
        </w:rPr>
        <w:t>中华人民共和国药典:一部</w:t>
      </w:r>
      <w:r>
        <w:rPr>
          <w:rFonts w:ascii="Times New Roman" w:hAnsi="Times New Roman" w:eastAsia="宋体" w:cs="Times New Roman"/>
          <w:szCs w:val="18"/>
        </w:rPr>
        <w:t>[M].</w:t>
      </w:r>
      <w:r>
        <w:rPr>
          <w:rFonts w:hint="eastAsia" w:ascii="Times New Roman" w:hAnsi="Times New Roman" w:eastAsia="宋体" w:cs="Times New Roman"/>
          <w:szCs w:val="18"/>
        </w:rPr>
        <w:t>北京:人民卫生出版社</w:t>
      </w:r>
      <w:r>
        <w:rPr>
          <w:rFonts w:ascii="Times New Roman" w:hAnsi="Times New Roman" w:eastAsia="宋体" w:cs="Times New Roman"/>
          <w:szCs w:val="18"/>
        </w:rPr>
        <w:t>,1964</w:t>
      </w:r>
      <w:r>
        <w:rPr>
          <w:rFonts w:hint="eastAsia" w:ascii="Times New Roman" w:hAnsi="Times New Roman" w:eastAsia="宋体" w:cs="Times New Roman"/>
          <w:szCs w:val="18"/>
        </w:rPr>
        <w:t>:</w:t>
      </w:r>
      <w:r>
        <w:rPr>
          <w:rFonts w:ascii="Times New Roman" w:hAnsi="Times New Roman" w:eastAsia="宋体" w:cs="Times New Roman"/>
          <w:szCs w:val="18"/>
        </w:rPr>
        <w:t>520.</w:t>
      </w:r>
    </w:p>
    <w:p w14:paraId="213E6F2E">
      <w:pPr>
        <w:numPr>
          <w:ilvl w:val="0"/>
          <w:numId w:val="2"/>
        </w:numPr>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 xml:space="preserve">[18] </w:t>
      </w:r>
      <w:r>
        <w:rPr>
          <w:rFonts w:hint="eastAsia" w:ascii="Times New Roman" w:hAnsi="Times New Roman" w:eastAsia="宋体" w:cs="Times New Roman"/>
          <w:szCs w:val="18"/>
        </w:rPr>
        <w:t>黄奭.神农本草经［</w:t>
      </w:r>
      <w:r>
        <w:rPr>
          <w:rFonts w:ascii="Times New Roman" w:hAnsi="Times New Roman" w:eastAsia="宋体" w:cs="Times New Roman"/>
          <w:szCs w:val="18"/>
        </w:rPr>
        <w:t>M</w:t>
      </w:r>
      <w:r>
        <w:rPr>
          <w:rFonts w:hint="eastAsia" w:ascii="Times New Roman" w:hAnsi="Times New Roman" w:eastAsia="宋体" w:cs="Times New Roman"/>
          <w:szCs w:val="18"/>
        </w:rPr>
        <w:t>］.北京</w:t>
      </w:r>
      <w:r>
        <w:rPr>
          <w:rFonts w:ascii="Times New Roman" w:hAnsi="Times New Roman" w:eastAsia="宋体" w:cs="Times New Roman"/>
          <w:szCs w:val="18"/>
        </w:rPr>
        <w:t xml:space="preserve">: </w:t>
      </w:r>
      <w:r>
        <w:rPr>
          <w:rFonts w:hint="eastAsia" w:ascii="Times New Roman" w:hAnsi="Times New Roman" w:eastAsia="宋体" w:cs="Times New Roman"/>
          <w:szCs w:val="18"/>
        </w:rPr>
        <w:t>中医古籍出版社</w:t>
      </w:r>
      <w:r>
        <w:rPr>
          <w:rFonts w:ascii="Times New Roman" w:hAnsi="Times New Roman" w:eastAsia="宋体" w:cs="Times New Roman"/>
          <w:szCs w:val="18"/>
        </w:rPr>
        <w:t>,1982: 40</w:t>
      </w:r>
      <w:r>
        <w:rPr>
          <w:rFonts w:hint="eastAsia" w:ascii="Times New Roman" w:hAnsi="Times New Roman" w:eastAsia="宋体" w:cs="Times New Roman"/>
          <w:szCs w:val="18"/>
        </w:rPr>
        <w:t>.</w:t>
      </w:r>
    </w:p>
    <w:p w14:paraId="4F282070">
      <w:pPr>
        <w:numPr>
          <w:ilvl w:val="0"/>
          <w:numId w:val="2"/>
        </w:numPr>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 xml:space="preserve">[19] </w:t>
      </w:r>
      <w:r>
        <w:rPr>
          <w:rFonts w:hint="eastAsia" w:ascii="Times New Roman" w:hAnsi="Times New Roman" w:eastAsia="宋体" w:cs="Times New Roman"/>
          <w:szCs w:val="18"/>
        </w:rPr>
        <w:t>陶弘景.名医别录［</w:t>
      </w:r>
      <w:r>
        <w:rPr>
          <w:rFonts w:ascii="Times New Roman" w:hAnsi="Times New Roman" w:eastAsia="宋体" w:cs="Times New Roman"/>
          <w:szCs w:val="18"/>
        </w:rPr>
        <w:t>M</w:t>
      </w:r>
      <w:r>
        <w:rPr>
          <w:rFonts w:hint="eastAsia" w:ascii="Times New Roman" w:hAnsi="Times New Roman" w:eastAsia="宋体" w:cs="Times New Roman"/>
          <w:szCs w:val="18"/>
        </w:rPr>
        <w:t>］.尚志钧</w:t>
      </w:r>
      <w:r>
        <w:rPr>
          <w:rFonts w:ascii="Times New Roman" w:hAnsi="Times New Roman" w:eastAsia="宋体" w:cs="Times New Roman"/>
          <w:szCs w:val="18"/>
        </w:rPr>
        <w:t>,</w:t>
      </w:r>
      <w:r>
        <w:rPr>
          <w:rFonts w:hint="eastAsia" w:ascii="Times New Roman" w:hAnsi="Times New Roman" w:eastAsia="宋体" w:cs="Times New Roman"/>
          <w:szCs w:val="18"/>
        </w:rPr>
        <w:t>辑校.北京</w:t>
      </w:r>
      <w:r>
        <w:rPr>
          <w:rFonts w:ascii="Times New Roman" w:hAnsi="Times New Roman" w:eastAsia="宋体" w:cs="Times New Roman"/>
          <w:szCs w:val="18"/>
        </w:rPr>
        <w:t xml:space="preserve">: </w:t>
      </w:r>
      <w:r>
        <w:rPr>
          <w:rFonts w:hint="eastAsia" w:ascii="Times New Roman" w:hAnsi="Times New Roman" w:eastAsia="宋体" w:cs="Times New Roman"/>
          <w:szCs w:val="18"/>
        </w:rPr>
        <w:t>人民卫生出版社</w:t>
      </w:r>
      <w:r>
        <w:rPr>
          <w:rFonts w:ascii="Times New Roman" w:hAnsi="Times New Roman" w:eastAsia="宋体" w:cs="Times New Roman"/>
          <w:szCs w:val="18"/>
        </w:rPr>
        <w:t>,1986: 22</w:t>
      </w:r>
      <w:r>
        <w:rPr>
          <w:rFonts w:hint="eastAsia" w:ascii="Times New Roman" w:hAnsi="Times New Roman" w:eastAsia="宋体" w:cs="Times New Roman"/>
          <w:szCs w:val="18"/>
        </w:rPr>
        <w:t>.</w:t>
      </w:r>
    </w:p>
    <w:p w14:paraId="7C992362">
      <w:pPr>
        <w:numPr>
          <w:ilvl w:val="0"/>
          <w:numId w:val="2"/>
        </w:numPr>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 xml:space="preserve">[20] </w:t>
      </w:r>
      <w:r>
        <w:rPr>
          <w:rFonts w:hint="eastAsia" w:ascii="Times New Roman" w:hAnsi="Times New Roman" w:eastAsia="宋体" w:cs="Times New Roman"/>
          <w:szCs w:val="18"/>
        </w:rPr>
        <w:t>苏敬.新修本草辑复本［</w:t>
      </w:r>
      <w:r>
        <w:rPr>
          <w:rFonts w:ascii="Times New Roman" w:hAnsi="Times New Roman" w:eastAsia="宋体" w:cs="Times New Roman"/>
          <w:szCs w:val="18"/>
        </w:rPr>
        <w:t>M</w:t>
      </w:r>
      <w:r>
        <w:rPr>
          <w:rFonts w:hint="eastAsia" w:ascii="Times New Roman" w:hAnsi="Times New Roman" w:eastAsia="宋体" w:cs="Times New Roman"/>
          <w:szCs w:val="18"/>
        </w:rPr>
        <w:t>］.尚志钧</w:t>
      </w:r>
      <w:r>
        <w:rPr>
          <w:rFonts w:ascii="Times New Roman" w:hAnsi="Times New Roman" w:eastAsia="宋体" w:cs="Times New Roman"/>
          <w:szCs w:val="18"/>
        </w:rPr>
        <w:t>,</w:t>
      </w:r>
      <w:r>
        <w:rPr>
          <w:rFonts w:hint="eastAsia" w:ascii="Times New Roman" w:hAnsi="Times New Roman" w:eastAsia="宋体" w:cs="Times New Roman"/>
          <w:szCs w:val="18"/>
        </w:rPr>
        <w:t>辑校.合肥</w:t>
      </w:r>
      <w:r>
        <w:rPr>
          <w:rFonts w:ascii="Times New Roman" w:hAnsi="Times New Roman" w:eastAsia="宋体" w:cs="Times New Roman"/>
          <w:szCs w:val="18"/>
        </w:rPr>
        <w:t xml:space="preserve">: </w:t>
      </w:r>
      <w:r>
        <w:rPr>
          <w:rFonts w:hint="eastAsia" w:ascii="Times New Roman" w:hAnsi="Times New Roman" w:eastAsia="宋体" w:cs="Times New Roman"/>
          <w:szCs w:val="18"/>
        </w:rPr>
        <w:t>安徽科学技术出版社</w:t>
      </w:r>
      <w:r>
        <w:rPr>
          <w:rFonts w:ascii="Times New Roman" w:hAnsi="Times New Roman" w:eastAsia="宋体" w:cs="Times New Roman"/>
          <w:szCs w:val="18"/>
        </w:rPr>
        <w:t>,1981: 152,225</w:t>
      </w:r>
      <w:r>
        <w:rPr>
          <w:rFonts w:hint="eastAsia" w:ascii="Times New Roman" w:hAnsi="Times New Roman" w:eastAsia="宋体" w:cs="Times New Roman"/>
          <w:szCs w:val="18"/>
        </w:rPr>
        <w:t>.</w:t>
      </w:r>
    </w:p>
    <w:p w14:paraId="088FD826">
      <w:pPr>
        <w:numPr>
          <w:ilvl w:val="0"/>
          <w:numId w:val="2"/>
        </w:numPr>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 xml:space="preserve">[21] </w:t>
      </w:r>
      <w:r>
        <w:rPr>
          <w:rFonts w:hint="eastAsia" w:ascii="Times New Roman" w:hAnsi="Times New Roman" w:eastAsia="宋体" w:cs="Times New Roman"/>
          <w:szCs w:val="18"/>
        </w:rPr>
        <w:t>中国科学院《中国植物志》编辑委员会.中国植物志.第</w:t>
      </w:r>
      <w:r>
        <w:rPr>
          <w:rFonts w:ascii="Times New Roman" w:hAnsi="Times New Roman" w:eastAsia="宋体" w:cs="Times New Roman"/>
          <w:szCs w:val="18"/>
        </w:rPr>
        <w:t xml:space="preserve">28 </w:t>
      </w:r>
      <w:r>
        <w:rPr>
          <w:rFonts w:hint="eastAsia" w:ascii="Times New Roman" w:hAnsi="Times New Roman" w:eastAsia="宋体" w:cs="Times New Roman"/>
          <w:szCs w:val="18"/>
        </w:rPr>
        <w:t>卷［</w:t>
      </w:r>
      <w:r>
        <w:rPr>
          <w:rFonts w:ascii="Times New Roman" w:hAnsi="Times New Roman" w:eastAsia="宋体" w:cs="Times New Roman"/>
          <w:szCs w:val="18"/>
        </w:rPr>
        <w:t>M</w:t>
      </w:r>
      <w:r>
        <w:rPr>
          <w:rFonts w:hint="eastAsia" w:ascii="Times New Roman" w:hAnsi="Times New Roman" w:eastAsia="宋体" w:cs="Times New Roman"/>
          <w:szCs w:val="18"/>
        </w:rPr>
        <w:t>］.北京</w:t>
      </w:r>
      <w:r>
        <w:rPr>
          <w:rFonts w:ascii="Times New Roman" w:hAnsi="Times New Roman" w:eastAsia="宋体" w:cs="Times New Roman"/>
          <w:szCs w:val="18"/>
        </w:rPr>
        <w:t xml:space="preserve">: </w:t>
      </w:r>
      <w:r>
        <w:rPr>
          <w:rFonts w:hint="eastAsia" w:ascii="Times New Roman" w:hAnsi="Times New Roman" w:eastAsia="宋体" w:cs="Times New Roman"/>
          <w:szCs w:val="18"/>
        </w:rPr>
        <w:t>科学出版社</w:t>
      </w:r>
      <w:r>
        <w:rPr>
          <w:rFonts w:ascii="Times New Roman" w:hAnsi="Times New Roman" w:eastAsia="宋体" w:cs="Times New Roman"/>
          <w:szCs w:val="18"/>
        </w:rPr>
        <w:t>, 1980: 193</w:t>
      </w:r>
      <w:r>
        <w:rPr>
          <w:rFonts w:hint="eastAsia" w:ascii="Times New Roman" w:hAnsi="Times New Roman" w:eastAsia="宋体" w:cs="Times New Roman"/>
          <w:szCs w:val="18"/>
        </w:rPr>
        <w:t>.</w:t>
      </w:r>
    </w:p>
    <w:p w14:paraId="61C8F86E">
      <w:pPr>
        <w:numPr>
          <w:ilvl w:val="0"/>
          <w:numId w:val="2"/>
        </w:numPr>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 xml:space="preserve">[22] </w:t>
      </w:r>
      <w:r>
        <w:rPr>
          <w:rFonts w:hint="eastAsia" w:ascii="Times New Roman" w:hAnsi="Times New Roman" w:eastAsia="宋体" w:cs="Times New Roman"/>
          <w:szCs w:val="18"/>
        </w:rPr>
        <w:t>李时珍.本草纲目［</w:t>
      </w:r>
      <w:r>
        <w:rPr>
          <w:rFonts w:ascii="Times New Roman" w:hAnsi="Times New Roman" w:eastAsia="宋体" w:cs="Times New Roman"/>
          <w:szCs w:val="18"/>
        </w:rPr>
        <w:t>M</w:t>
      </w:r>
      <w:r>
        <w:rPr>
          <w:rFonts w:hint="eastAsia" w:ascii="Times New Roman" w:hAnsi="Times New Roman" w:eastAsia="宋体" w:cs="Times New Roman"/>
          <w:szCs w:val="18"/>
        </w:rPr>
        <w:t>］.张守康校注.北京</w:t>
      </w:r>
      <w:r>
        <w:rPr>
          <w:rFonts w:ascii="Times New Roman" w:hAnsi="Times New Roman" w:eastAsia="宋体" w:cs="Times New Roman"/>
          <w:szCs w:val="18"/>
        </w:rPr>
        <w:t xml:space="preserve">: </w:t>
      </w:r>
      <w:r>
        <w:rPr>
          <w:rFonts w:hint="eastAsia" w:ascii="Times New Roman" w:hAnsi="Times New Roman" w:eastAsia="宋体" w:cs="Times New Roman"/>
          <w:szCs w:val="18"/>
        </w:rPr>
        <w:t>中国中医药出版社</w:t>
      </w:r>
      <w:r>
        <w:rPr>
          <w:rFonts w:ascii="Times New Roman" w:hAnsi="Times New Roman" w:eastAsia="宋体" w:cs="Times New Roman"/>
          <w:szCs w:val="18"/>
        </w:rPr>
        <w:t>,1998</w:t>
      </w:r>
      <w:r>
        <w:rPr>
          <w:rFonts w:hint="eastAsia" w:ascii="Times New Roman" w:hAnsi="Times New Roman" w:eastAsia="宋体" w:cs="Times New Roman"/>
          <w:szCs w:val="18"/>
        </w:rPr>
        <w:t>.</w:t>
      </w:r>
    </w:p>
    <w:p w14:paraId="10C5DB1D">
      <w:pPr>
        <w:numPr>
          <w:ilvl w:val="0"/>
          <w:numId w:val="2"/>
        </w:numPr>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 xml:space="preserve">[23] </w:t>
      </w:r>
      <w:r>
        <w:rPr>
          <w:rFonts w:hint="eastAsia" w:ascii="Times New Roman" w:hAnsi="Times New Roman" w:eastAsia="宋体" w:cs="Times New Roman"/>
          <w:szCs w:val="18"/>
        </w:rPr>
        <w:t>吴继志.质问本草［</w:t>
      </w:r>
      <w:r>
        <w:rPr>
          <w:rFonts w:ascii="Times New Roman" w:hAnsi="Times New Roman" w:eastAsia="宋体" w:cs="Times New Roman"/>
          <w:szCs w:val="18"/>
        </w:rPr>
        <w:t>M</w:t>
      </w:r>
      <w:r>
        <w:rPr>
          <w:rFonts w:hint="eastAsia" w:ascii="Times New Roman" w:hAnsi="Times New Roman" w:eastAsia="宋体" w:cs="Times New Roman"/>
          <w:szCs w:val="18"/>
        </w:rPr>
        <w:t>］.北京</w:t>
      </w:r>
      <w:r>
        <w:rPr>
          <w:rFonts w:ascii="Times New Roman" w:hAnsi="Times New Roman" w:eastAsia="宋体" w:cs="Times New Roman"/>
          <w:szCs w:val="18"/>
        </w:rPr>
        <w:t xml:space="preserve">: </w:t>
      </w:r>
      <w:r>
        <w:rPr>
          <w:rFonts w:hint="eastAsia" w:ascii="Times New Roman" w:hAnsi="Times New Roman" w:eastAsia="宋体" w:cs="Times New Roman"/>
          <w:szCs w:val="18"/>
        </w:rPr>
        <w:t>中医古籍出版社</w:t>
      </w:r>
      <w:r>
        <w:rPr>
          <w:rFonts w:ascii="Times New Roman" w:hAnsi="Times New Roman" w:eastAsia="宋体" w:cs="Times New Roman"/>
          <w:szCs w:val="18"/>
        </w:rPr>
        <w:t>,1984: 65</w:t>
      </w:r>
      <w:r>
        <w:rPr>
          <w:rFonts w:hint="eastAsia" w:ascii="Times New Roman" w:hAnsi="Times New Roman" w:eastAsia="宋体" w:cs="Times New Roman"/>
          <w:szCs w:val="18"/>
        </w:rPr>
        <w:t>.</w:t>
      </w:r>
    </w:p>
    <w:p w14:paraId="3DF2A191">
      <w:pPr>
        <w:numPr>
          <w:ilvl w:val="0"/>
          <w:numId w:val="2"/>
        </w:numPr>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 xml:space="preserve">[24] </w:t>
      </w:r>
      <w:r>
        <w:rPr>
          <w:rFonts w:hint="eastAsia" w:ascii="Times New Roman" w:hAnsi="Times New Roman" w:eastAsia="宋体" w:cs="Times New Roman"/>
          <w:szCs w:val="18"/>
        </w:rPr>
        <w:t>孟冼</w:t>
      </w:r>
      <w:r>
        <w:rPr>
          <w:rFonts w:ascii="Times New Roman" w:hAnsi="Times New Roman" w:eastAsia="宋体" w:cs="Times New Roman"/>
          <w:szCs w:val="18"/>
        </w:rPr>
        <w:t>.</w:t>
      </w:r>
      <w:r>
        <w:rPr>
          <w:rFonts w:hint="eastAsia" w:ascii="Times New Roman" w:hAnsi="Times New Roman" w:eastAsia="宋体" w:cs="Times New Roman"/>
          <w:szCs w:val="18"/>
        </w:rPr>
        <w:t>食疗本草</w:t>
      </w:r>
      <w:r>
        <w:rPr>
          <w:rFonts w:ascii="Times New Roman" w:hAnsi="Times New Roman" w:eastAsia="宋体" w:cs="Times New Roman"/>
          <w:szCs w:val="18"/>
        </w:rPr>
        <w:t>[M].</w:t>
      </w:r>
      <w:r>
        <w:rPr>
          <w:rFonts w:hint="eastAsia" w:ascii="Times New Roman" w:hAnsi="Times New Roman" w:eastAsia="宋体" w:cs="Times New Roman"/>
          <w:szCs w:val="18"/>
        </w:rPr>
        <w:t>北京:人民卫生出版社</w:t>
      </w:r>
      <w:r>
        <w:rPr>
          <w:rFonts w:ascii="Times New Roman" w:hAnsi="Times New Roman" w:eastAsia="宋体" w:cs="Times New Roman"/>
          <w:szCs w:val="18"/>
        </w:rPr>
        <w:t>,2006</w:t>
      </w:r>
      <w:r>
        <w:rPr>
          <w:rFonts w:hint="eastAsia" w:ascii="Times New Roman" w:hAnsi="Times New Roman" w:eastAsia="宋体" w:cs="Times New Roman"/>
          <w:szCs w:val="18"/>
        </w:rPr>
        <w:t>:</w:t>
      </w:r>
      <w:r>
        <w:rPr>
          <w:rFonts w:ascii="Times New Roman" w:hAnsi="Times New Roman" w:eastAsia="宋体" w:cs="Times New Roman"/>
          <w:szCs w:val="18"/>
        </w:rPr>
        <w:t>2.</w:t>
      </w:r>
    </w:p>
    <w:p w14:paraId="474B48DF">
      <w:pPr>
        <w:numPr>
          <w:ilvl w:val="0"/>
          <w:numId w:val="2"/>
        </w:numPr>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 xml:space="preserve">[25] </w:t>
      </w:r>
      <w:r>
        <w:rPr>
          <w:rFonts w:hint="eastAsia" w:ascii="Times New Roman" w:hAnsi="Times New Roman" w:eastAsia="宋体" w:cs="Times New Roman"/>
          <w:szCs w:val="18"/>
        </w:rPr>
        <w:t>王怀隐</w:t>
      </w:r>
      <w:r>
        <w:rPr>
          <w:rFonts w:ascii="Times New Roman" w:hAnsi="Times New Roman" w:eastAsia="宋体" w:cs="Times New Roman"/>
          <w:szCs w:val="18"/>
        </w:rPr>
        <w:t>.</w:t>
      </w:r>
      <w:r>
        <w:rPr>
          <w:rFonts w:hint="eastAsia" w:ascii="Times New Roman" w:hAnsi="Times New Roman" w:eastAsia="宋体" w:cs="Times New Roman"/>
          <w:szCs w:val="18"/>
        </w:rPr>
        <w:t>太平圣惠方［</w:t>
      </w:r>
      <w:r>
        <w:rPr>
          <w:rFonts w:ascii="Times New Roman" w:hAnsi="Times New Roman" w:eastAsia="宋体" w:cs="Times New Roman"/>
          <w:szCs w:val="18"/>
        </w:rPr>
        <w:t>M</w:t>
      </w:r>
      <w:r>
        <w:rPr>
          <w:rFonts w:hint="eastAsia" w:ascii="Times New Roman" w:hAnsi="Times New Roman" w:eastAsia="宋体" w:cs="Times New Roman"/>
          <w:szCs w:val="18"/>
        </w:rPr>
        <w:t>］</w:t>
      </w:r>
      <w:r>
        <w:rPr>
          <w:rFonts w:ascii="Times New Roman" w:hAnsi="Times New Roman" w:eastAsia="宋体" w:cs="Times New Roman"/>
          <w:szCs w:val="18"/>
        </w:rPr>
        <w:t xml:space="preserve">. </w:t>
      </w:r>
      <w:r>
        <w:rPr>
          <w:rFonts w:hint="eastAsia" w:ascii="Times New Roman" w:hAnsi="Times New Roman" w:eastAsia="宋体" w:cs="Times New Roman"/>
          <w:szCs w:val="18"/>
        </w:rPr>
        <w:t>北京:人民卫生出版社</w:t>
      </w:r>
      <w:r>
        <w:rPr>
          <w:rFonts w:ascii="Times New Roman" w:hAnsi="Times New Roman" w:eastAsia="宋体" w:cs="Times New Roman"/>
          <w:szCs w:val="18"/>
        </w:rPr>
        <w:t>,1958.</w:t>
      </w:r>
    </w:p>
    <w:p w14:paraId="68409CC9">
      <w:pPr>
        <w:numPr>
          <w:ilvl w:val="0"/>
          <w:numId w:val="2"/>
        </w:numPr>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 xml:space="preserve">[26] </w:t>
      </w:r>
      <w:r>
        <w:rPr>
          <w:rFonts w:hint="eastAsia" w:ascii="Times New Roman" w:hAnsi="Times New Roman" w:eastAsia="宋体" w:cs="Times New Roman"/>
          <w:szCs w:val="18"/>
        </w:rPr>
        <w:t>吴仪洛</w:t>
      </w:r>
      <w:r>
        <w:rPr>
          <w:rFonts w:ascii="Times New Roman" w:hAnsi="Times New Roman" w:eastAsia="宋体" w:cs="Times New Roman"/>
          <w:szCs w:val="18"/>
        </w:rPr>
        <w:t>.</w:t>
      </w:r>
      <w:r>
        <w:rPr>
          <w:rFonts w:hint="eastAsia" w:ascii="Times New Roman" w:hAnsi="Times New Roman" w:eastAsia="宋体" w:cs="Times New Roman"/>
          <w:szCs w:val="18"/>
        </w:rPr>
        <w:t>本草从新［</w:t>
      </w:r>
      <w:r>
        <w:rPr>
          <w:rFonts w:ascii="Times New Roman" w:hAnsi="Times New Roman" w:eastAsia="宋体" w:cs="Times New Roman"/>
          <w:szCs w:val="18"/>
        </w:rPr>
        <w:t>M</w:t>
      </w:r>
      <w:r>
        <w:rPr>
          <w:rFonts w:hint="eastAsia" w:ascii="Times New Roman" w:hAnsi="Times New Roman" w:eastAsia="宋体" w:cs="Times New Roman"/>
          <w:szCs w:val="18"/>
        </w:rPr>
        <w:t>］</w:t>
      </w:r>
      <w:r>
        <w:rPr>
          <w:rFonts w:ascii="Times New Roman" w:hAnsi="Times New Roman" w:eastAsia="宋体" w:cs="Times New Roman"/>
          <w:szCs w:val="18"/>
        </w:rPr>
        <w:t>.</w:t>
      </w:r>
      <w:r>
        <w:rPr>
          <w:rFonts w:hint="eastAsia" w:ascii="Times New Roman" w:hAnsi="Times New Roman" w:eastAsia="宋体" w:cs="Times New Roman"/>
          <w:szCs w:val="18"/>
        </w:rPr>
        <w:t>太原:山西科学技术出版社</w:t>
      </w:r>
      <w:r>
        <w:rPr>
          <w:rFonts w:ascii="Times New Roman" w:hAnsi="Times New Roman" w:eastAsia="宋体" w:cs="Times New Roman"/>
          <w:szCs w:val="18"/>
        </w:rPr>
        <w:t>,2015.</w:t>
      </w:r>
    </w:p>
    <w:p w14:paraId="16256D13">
      <w:pPr>
        <w:numPr>
          <w:ilvl w:val="0"/>
          <w:numId w:val="2"/>
        </w:numPr>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 xml:space="preserve">[27] </w:t>
      </w:r>
      <w:r>
        <w:rPr>
          <w:rFonts w:hint="eastAsia" w:ascii="Times New Roman" w:hAnsi="Times New Roman" w:eastAsia="宋体" w:cs="Times New Roman"/>
          <w:szCs w:val="18"/>
        </w:rPr>
        <w:t>王怀隐</w:t>
      </w:r>
      <w:r>
        <w:rPr>
          <w:rFonts w:ascii="Times New Roman" w:hAnsi="Times New Roman" w:eastAsia="宋体" w:cs="Times New Roman"/>
          <w:szCs w:val="18"/>
        </w:rPr>
        <w:t>.</w:t>
      </w:r>
      <w:r>
        <w:rPr>
          <w:rFonts w:hint="eastAsia" w:ascii="Times New Roman" w:hAnsi="Times New Roman" w:eastAsia="宋体" w:cs="Times New Roman"/>
          <w:szCs w:val="18"/>
        </w:rPr>
        <w:t>太平圣惠方［</w:t>
      </w:r>
      <w:r>
        <w:rPr>
          <w:rFonts w:ascii="Times New Roman" w:hAnsi="Times New Roman" w:eastAsia="宋体" w:cs="Times New Roman"/>
          <w:szCs w:val="18"/>
        </w:rPr>
        <w:t>M</w:t>
      </w:r>
      <w:r>
        <w:rPr>
          <w:rFonts w:hint="eastAsia" w:ascii="Times New Roman" w:hAnsi="Times New Roman" w:eastAsia="宋体" w:cs="Times New Roman"/>
          <w:szCs w:val="18"/>
        </w:rPr>
        <w:t>］</w:t>
      </w:r>
      <w:r>
        <w:rPr>
          <w:rFonts w:ascii="Times New Roman" w:hAnsi="Times New Roman" w:eastAsia="宋体" w:cs="Times New Roman"/>
          <w:szCs w:val="18"/>
        </w:rPr>
        <w:t xml:space="preserve">. </w:t>
      </w:r>
      <w:r>
        <w:rPr>
          <w:rFonts w:hint="eastAsia" w:ascii="Times New Roman" w:hAnsi="Times New Roman" w:eastAsia="宋体" w:cs="Times New Roman"/>
          <w:szCs w:val="18"/>
        </w:rPr>
        <w:t>北京:人民卫生出版社</w:t>
      </w:r>
      <w:r>
        <w:rPr>
          <w:rFonts w:ascii="Times New Roman" w:hAnsi="Times New Roman" w:eastAsia="宋体" w:cs="Times New Roman"/>
          <w:szCs w:val="18"/>
        </w:rPr>
        <w:t>,1958.</w:t>
      </w:r>
    </w:p>
    <w:p w14:paraId="03DA48F5">
      <w:pPr>
        <w:numPr>
          <w:ilvl w:val="0"/>
          <w:numId w:val="2"/>
        </w:numPr>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 xml:space="preserve">[28] </w:t>
      </w:r>
      <w:r>
        <w:rPr>
          <w:rFonts w:hint="eastAsia" w:ascii="Times New Roman" w:hAnsi="Times New Roman" w:eastAsia="宋体" w:cs="Times New Roman"/>
          <w:szCs w:val="18"/>
        </w:rPr>
        <w:t>唐慎微</w:t>
      </w:r>
      <w:r>
        <w:rPr>
          <w:rFonts w:ascii="Times New Roman" w:hAnsi="Times New Roman" w:eastAsia="宋体" w:cs="Times New Roman"/>
          <w:szCs w:val="18"/>
        </w:rPr>
        <w:t xml:space="preserve">. </w:t>
      </w:r>
      <w:r>
        <w:rPr>
          <w:rFonts w:hint="eastAsia" w:ascii="Times New Roman" w:hAnsi="Times New Roman" w:eastAsia="宋体" w:cs="Times New Roman"/>
          <w:szCs w:val="18"/>
        </w:rPr>
        <w:t>证类本草［</w:t>
      </w:r>
      <w:r>
        <w:rPr>
          <w:rFonts w:ascii="Times New Roman" w:hAnsi="Times New Roman" w:eastAsia="宋体" w:cs="Times New Roman"/>
          <w:szCs w:val="18"/>
        </w:rPr>
        <w:t>M</w:t>
      </w:r>
      <w:r>
        <w:rPr>
          <w:rFonts w:hint="eastAsia" w:ascii="Times New Roman" w:hAnsi="Times New Roman" w:eastAsia="宋体" w:cs="Times New Roman"/>
          <w:szCs w:val="18"/>
        </w:rPr>
        <w:t>］</w:t>
      </w:r>
      <w:r>
        <w:rPr>
          <w:rFonts w:ascii="Times New Roman" w:hAnsi="Times New Roman" w:eastAsia="宋体" w:cs="Times New Roman"/>
          <w:szCs w:val="18"/>
        </w:rPr>
        <w:t xml:space="preserve">. </w:t>
      </w:r>
      <w:r>
        <w:rPr>
          <w:rFonts w:hint="eastAsia" w:ascii="Times New Roman" w:hAnsi="Times New Roman" w:eastAsia="宋体" w:cs="Times New Roman"/>
          <w:szCs w:val="18"/>
        </w:rPr>
        <w:t>郭君双</w:t>
      </w:r>
      <w:r>
        <w:rPr>
          <w:rFonts w:ascii="Times New Roman" w:hAnsi="Times New Roman" w:eastAsia="宋体" w:cs="Times New Roman"/>
          <w:szCs w:val="18"/>
        </w:rPr>
        <w:t>,</w:t>
      </w:r>
      <w:r>
        <w:rPr>
          <w:rFonts w:hint="eastAsia" w:ascii="Times New Roman" w:hAnsi="Times New Roman" w:eastAsia="宋体" w:cs="Times New Roman"/>
          <w:szCs w:val="18"/>
        </w:rPr>
        <w:t>校注</w:t>
      </w:r>
      <w:r>
        <w:rPr>
          <w:rFonts w:ascii="Times New Roman" w:hAnsi="Times New Roman" w:eastAsia="宋体" w:cs="Times New Roman"/>
          <w:szCs w:val="18"/>
        </w:rPr>
        <w:t xml:space="preserve">. </w:t>
      </w:r>
      <w:r>
        <w:rPr>
          <w:rFonts w:hint="eastAsia" w:ascii="Times New Roman" w:hAnsi="Times New Roman" w:eastAsia="宋体" w:cs="Times New Roman"/>
          <w:szCs w:val="18"/>
        </w:rPr>
        <w:t>北京:中国医药科技出版社</w:t>
      </w:r>
      <w:r>
        <w:rPr>
          <w:rFonts w:ascii="Times New Roman" w:hAnsi="Times New Roman" w:eastAsia="宋体" w:cs="Times New Roman"/>
          <w:szCs w:val="18"/>
        </w:rPr>
        <w:t>,2011.</w:t>
      </w:r>
    </w:p>
    <w:p w14:paraId="150FB4C5">
      <w:pPr>
        <w:numPr>
          <w:ilvl w:val="0"/>
          <w:numId w:val="2"/>
        </w:numPr>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 xml:space="preserve">[29] </w:t>
      </w:r>
      <w:r>
        <w:rPr>
          <w:rFonts w:hint="eastAsia" w:ascii="Times New Roman" w:hAnsi="Times New Roman" w:eastAsia="宋体" w:cs="Times New Roman"/>
          <w:szCs w:val="18"/>
        </w:rPr>
        <w:t>李榳</w:t>
      </w:r>
      <w:r>
        <w:rPr>
          <w:rFonts w:ascii="Times New Roman" w:hAnsi="Times New Roman" w:eastAsia="宋体" w:cs="Times New Roman"/>
          <w:szCs w:val="18"/>
        </w:rPr>
        <w:t>.</w:t>
      </w:r>
      <w:r>
        <w:rPr>
          <w:rFonts w:hint="eastAsia" w:ascii="Times New Roman" w:hAnsi="Times New Roman" w:eastAsia="宋体" w:cs="Times New Roman"/>
          <w:szCs w:val="18"/>
        </w:rPr>
        <w:t>医学入门［</w:t>
      </w:r>
      <w:r>
        <w:rPr>
          <w:rFonts w:ascii="Times New Roman" w:hAnsi="Times New Roman" w:eastAsia="宋体" w:cs="Times New Roman"/>
          <w:szCs w:val="18"/>
        </w:rPr>
        <w:t>M</w:t>
      </w:r>
      <w:r>
        <w:rPr>
          <w:rFonts w:hint="eastAsia" w:ascii="Times New Roman" w:hAnsi="Times New Roman" w:eastAsia="宋体" w:cs="Times New Roman"/>
          <w:szCs w:val="18"/>
        </w:rPr>
        <w:t>］</w:t>
      </w:r>
      <w:r>
        <w:rPr>
          <w:rFonts w:ascii="Times New Roman" w:hAnsi="Times New Roman" w:eastAsia="宋体" w:cs="Times New Roman"/>
          <w:szCs w:val="18"/>
        </w:rPr>
        <w:t>.</w:t>
      </w:r>
      <w:r>
        <w:rPr>
          <w:rFonts w:hint="eastAsia" w:ascii="Times New Roman" w:hAnsi="Times New Roman" w:eastAsia="宋体" w:cs="Times New Roman"/>
          <w:szCs w:val="18"/>
        </w:rPr>
        <w:t>田代华</w:t>
      </w:r>
      <w:r>
        <w:rPr>
          <w:rFonts w:ascii="Times New Roman" w:hAnsi="Times New Roman" w:eastAsia="宋体" w:cs="Times New Roman"/>
          <w:szCs w:val="18"/>
        </w:rPr>
        <w:t>,</w:t>
      </w:r>
      <w:r>
        <w:rPr>
          <w:rFonts w:hint="eastAsia" w:ascii="Times New Roman" w:hAnsi="Times New Roman" w:eastAsia="宋体" w:cs="Times New Roman"/>
          <w:szCs w:val="18"/>
        </w:rPr>
        <w:t>金丽</w:t>
      </w:r>
      <w:r>
        <w:rPr>
          <w:rFonts w:ascii="Times New Roman" w:hAnsi="Times New Roman" w:eastAsia="宋体" w:cs="Times New Roman"/>
          <w:szCs w:val="18"/>
        </w:rPr>
        <w:t>,</w:t>
      </w:r>
      <w:r>
        <w:rPr>
          <w:rFonts w:hint="eastAsia" w:ascii="Times New Roman" w:hAnsi="Times New Roman" w:eastAsia="宋体" w:cs="Times New Roman"/>
          <w:szCs w:val="18"/>
        </w:rPr>
        <w:t>何永</w:t>
      </w:r>
      <w:r>
        <w:rPr>
          <w:rFonts w:ascii="Times New Roman" w:hAnsi="Times New Roman" w:eastAsia="宋体" w:cs="Times New Roman"/>
          <w:szCs w:val="18"/>
        </w:rPr>
        <w:t>,</w:t>
      </w:r>
      <w:r>
        <w:rPr>
          <w:rFonts w:hint="eastAsia" w:ascii="Times New Roman" w:hAnsi="Times New Roman" w:eastAsia="宋体" w:cs="Times New Roman"/>
          <w:szCs w:val="18"/>
        </w:rPr>
        <w:t>点校</w:t>
      </w:r>
      <w:r>
        <w:rPr>
          <w:rFonts w:ascii="Times New Roman" w:hAnsi="Times New Roman" w:eastAsia="宋体" w:cs="Times New Roman"/>
          <w:szCs w:val="18"/>
        </w:rPr>
        <w:t>.</w:t>
      </w:r>
      <w:r>
        <w:rPr>
          <w:rFonts w:hint="eastAsia" w:ascii="Times New Roman" w:hAnsi="Times New Roman" w:eastAsia="宋体" w:cs="Times New Roman"/>
          <w:szCs w:val="18"/>
        </w:rPr>
        <w:t>天津:天津科学技术出版社</w:t>
      </w:r>
      <w:r>
        <w:rPr>
          <w:rFonts w:ascii="Times New Roman" w:hAnsi="Times New Roman" w:eastAsia="宋体" w:cs="Times New Roman"/>
          <w:szCs w:val="18"/>
        </w:rPr>
        <w:t>,1999.</w:t>
      </w:r>
    </w:p>
    <w:p w14:paraId="7BC57A38">
      <w:pPr>
        <w:numPr>
          <w:ilvl w:val="0"/>
          <w:numId w:val="2"/>
        </w:numPr>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 xml:space="preserve">[30] </w:t>
      </w:r>
      <w:r>
        <w:rPr>
          <w:rFonts w:hint="eastAsia" w:ascii="Times New Roman" w:hAnsi="Times New Roman" w:eastAsia="宋体" w:cs="Times New Roman"/>
          <w:szCs w:val="18"/>
        </w:rPr>
        <w:t>黄元御</w:t>
      </w:r>
      <w:r>
        <w:rPr>
          <w:rFonts w:ascii="Times New Roman" w:hAnsi="Times New Roman" w:eastAsia="宋体" w:cs="Times New Roman"/>
          <w:szCs w:val="18"/>
        </w:rPr>
        <w:t xml:space="preserve">. </w:t>
      </w:r>
      <w:r>
        <w:rPr>
          <w:rFonts w:hint="eastAsia" w:ascii="Times New Roman" w:hAnsi="Times New Roman" w:eastAsia="宋体" w:cs="Times New Roman"/>
          <w:szCs w:val="18"/>
        </w:rPr>
        <w:t>玉楸药解释义［</w:t>
      </w:r>
      <w:r>
        <w:rPr>
          <w:rFonts w:ascii="Times New Roman" w:hAnsi="Times New Roman" w:eastAsia="宋体" w:cs="Times New Roman"/>
          <w:szCs w:val="18"/>
        </w:rPr>
        <w:t>M</w:t>
      </w:r>
      <w:r>
        <w:rPr>
          <w:rFonts w:hint="eastAsia" w:ascii="Times New Roman" w:hAnsi="Times New Roman" w:eastAsia="宋体" w:cs="Times New Roman"/>
          <w:szCs w:val="18"/>
        </w:rPr>
        <w:t>］</w:t>
      </w:r>
      <w:r>
        <w:rPr>
          <w:rFonts w:ascii="Times New Roman" w:hAnsi="Times New Roman" w:eastAsia="宋体" w:cs="Times New Roman"/>
          <w:szCs w:val="18"/>
        </w:rPr>
        <w:t xml:space="preserve">. </w:t>
      </w:r>
      <w:r>
        <w:rPr>
          <w:rFonts w:hint="eastAsia" w:ascii="Times New Roman" w:hAnsi="Times New Roman" w:eastAsia="宋体" w:cs="Times New Roman"/>
          <w:szCs w:val="18"/>
        </w:rPr>
        <w:t>山西:山西科学技术出版社</w:t>
      </w:r>
      <w:r>
        <w:rPr>
          <w:rFonts w:ascii="Times New Roman" w:hAnsi="Times New Roman" w:eastAsia="宋体" w:cs="Times New Roman"/>
          <w:szCs w:val="18"/>
        </w:rPr>
        <w:t>,2009.</w:t>
      </w:r>
    </w:p>
    <w:p w14:paraId="40BE1B43">
      <w:pPr>
        <w:numPr>
          <w:ilvl w:val="0"/>
          <w:numId w:val="2"/>
        </w:numPr>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 xml:space="preserve">[31] </w:t>
      </w:r>
      <w:r>
        <w:rPr>
          <w:rFonts w:hint="eastAsia" w:ascii="Times New Roman" w:hAnsi="Times New Roman" w:eastAsia="宋体" w:cs="Times New Roman"/>
          <w:szCs w:val="18"/>
        </w:rPr>
        <w:t>龚廷贤</w:t>
      </w:r>
      <w:r>
        <w:rPr>
          <w:rFonts w:ascii="Times New Roman" w:hAnsi="Times New Roman" w:eastAsia="宋体" w:cs="Times New Roman"/>
          <w:szCs w:val="18"/>
        </w:rPr>
        <w:t>.</w:t>
      </w:r>
      <w:r>
        <w:rPr>
          <w:rFonts w:hint="eastAsia" w:ascii="Times New Roman" w:hAnsi="Times New Roman" w:eastAsia="宋体" w:cs="Times New Roman"/>
          <w:szCs w:val="18"/>
        </w:rPr>
        <w:t>鲁府禁方［</w:t>
      </w:r>
      <w:r>
        <w:rPr>
          <w:rFonts w:ascii="Times New Roman" w:hAnsi="Times New Roman" w:eastAsia="宋体" w:cs="Times New Roman"/>
          <w:szCs w:val="18"/>
        </w:rPr>
        <w:t>M</w:t>
      </w:r>
      <w:r>
        <w:rPr>
          <w:rFonts w:hint="eastAsia" w:ascii="Times New Roman" w:hAnsi="Times New Roman" w:eastAsia="宋体" w:cs="Times New Roman"/>
          <w:szCs w:val="18"/>
        </w:rPr>
        <w:t>］</w:t>
      </w:r>
      <w:r>
        <w:rPr>
          <w:rFonts w:ascii="Times New Roman" w:hAnsi="Times New Roman" w:eastAsia="宋体" w:cs="Times New Roman"/>
          <w:szCs w:val="18"/>
        </w:rPr>
        <w:t>.</w:t>
      </w:r>
      <w:r>
        <w:rPr>
          <w:rFonts w:hint="eastAsia" w:ascii="Times New Roman" w:hAnsi="Times New Roman" w:eastAsia="宋体" w:cs="Times New Roman"/>
          <w:szCs w:val="18"/>
        </w:rPr>
        <w:t>张慧芳</w:t>
      </w:r>
      <w:r>
        <w:rPr>
          <w:rFonts w:ascii="Times New Roman" w:hAnsi="Times New Roman" w:eastAsia="宋体" w:cs="Times New Roman"/>
          <w:szCs w:val="18"/>
        </w:rPr>
        <w:t>,</w:t>
      </w:r>
      <w:r>
        <w:rPr>
          <w:rFonts w:hint="eastAsia" w:ascii="Times New Roman" w:hAnsi="Times New Roman" w:eastAsia="宋体" w:cs="Times New Roman"/>
          <w:szCs w:val="18"/>
        </w:rPr>
        <w:t>点校</w:t>
      </w:r>
      <w:r>
        <w:rPr>
          <w:rFonts w:ascii="Times New Roman" w:hAnsi="Times New Roman" w:eastAsia="宋体" w:cs="Times New Roman"/>
          <w:szCs w:val="18"/>
        </w:rPr>
        <w:t>.</w:t>
      </w:r>
      <w:r>
        <w:rPr>
          <w:rFonts w:hint="eastAsia" w:ascii="Times New Roman" w:hAnsi="Times New Roman" w:eastAsia="宋体" w:cs="Times New Roman"/>
          <w:szCs w:val="18"/>
        </w:rPr>
        <w:t>北京:中国中医药出版社</w:t>
      </w:r>
      <w:r>
        <w:rPr>
          <w:rFonts w:ascii="Times New Roman" w:hAnsi="Times New Roman" w:eastAsia="宋体" w:cs="Times New Roman"/>
          <w:szCs w:val="18"/>
        </w:rPr>
        <w:t>,2008.</w:t>
      </w:r>
    </w:p>
    <w:p w14:paraId="491303ED">
      <w:pPr>
        <w:numPr>
          <w:ilvl w:val="0"/>
          <w:numId w:val="2"/>
        </w:numPr>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 xml:space="preserve">[32] </w:t>
      </w:r>
      <w:r>
        <w:rPr>
          <w:rFonts w:hint="eastAsia" w:ascii="Times New Roman" w:hAnsi="Times New Roman" w:eastAsia="宋体" w:cs="Times New Roman"/>
          <w:szCs w:val="18"/>
        </w:rPr>
        <w:t>罗周彦</w:t>
      </w:r>
      <w:r>
        <w:rPr>
          <w:rFonts w:ascii="Times New Roman" w:hAnsi="Times New Roman" w:eastAsia="宋体" w:cs="Times New Roman"/>
          <w:szCs w:val="18"/>
        </w:rPr>
        <w:t>.</w:t>
      </w:r>
      <w:r>
        <w:rPr>
          <w:rFonts w:hint="eastAsia" w:ascii="Times New Roman" w:hAnsi="Times New Roman" w:eastAsia="宋体" w:cs="Times New Roman"/>
          <w:szCs w:val="18"/>
        </w:rPr>
        <w:t>医宗粹言［</w:t>
      </w:r>
      <w:r>
        <w:rPr>
          <w:rFonts w:ascii="Times New Roman" w:hAnsi="Times New Roman" w:eastAsia="宋体" w:cs="Times New Roman"/>
          <w:szCs w:val="18"/>
        </w:rPr>
        <w:t>M</w:t>
      </w:r>
      <w:r>
        <w:rPr>
          <w:rFonts w:hint="eastAsia" w:ascii="Times New Roman" w:hAnsi="Times New Roman" w:eastAsia="宋体" w:cs="Times New Roman"/>
          <w:szCs w:val="18"/>
        </w:rPr>
        <w:t>］</w:t>
      </w:r>
      <w:r>
        <w:rPr>
          <w:rFonts w:ascii="Times New Roman" w:hAnsi="Times New Roman" w:eastAsia="宋体" w:cs="Times New Roman"/>
          <w:szCs w:val="18"/>
        </w:rPr>
        <w:t>.</w:t>
      </w:r>
      <w:r>
        <w:rPr>
          <w:rFonts w:hint="eastAsia" w:ascii="Times New Roman" w:hAnsi="Times New Roman" w:eastAsia="宋体" w:cs="Times New Roman"/>
          <w:szCs w:val="18"/>
        </w:rPr>
        <w:t>合肥:安徽科学技术出版社</w:t>
      </w:r>
      <w:r>
        <w:rPr>
          <w:rFonts w:ascii="Times New Roman" w:hAnsi="Times New Roman" w:eastAsia="宋体" w:cs="Times New Roman"/>
          <w:szCs w:val="18"/>
        </w:rPr>
        <w:t>,1995.</w:t>
      </w:r>
    </w:p>
    <w:p w14:paraId="101DD042">
      <w:pPr>
        <w:numPr>
          <w:ilvl w:val="0"/>
          <w:numId w:val="2"/>
        </w:numPr>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 xml:space="preserve">[33] </w:t>
      </w:r>
      <w:r>
        <w:rPr>
          <w:rFonts w:hint="eastAsia" w:ascii="Times New Roman" w:hAnsi="Times New Roman" w:eastAsia="宋体" w:cs="Times New Roman"/>
          <w:szCs w:val="18"/>
        </w:rPr>
        <w:t>张仲岩</w:t>
      </w:r>
      <w:r>
        <w:rPr>
          <w:rFonts w:ascii="Times New Roman" w:hAnsi="Times New Roman" w:eastAsia="宋体" w:cs="Times New Roman"/>
          <w:szCs w:val="18"/>
        </w:rPr>
        <w:t>.</w:t>
      </w:r>
      <w:r>
        <w:rPr>
          <w:rFonts w:hint="eastAsia" w:ascii="Times New Roman" w:hAnsi="Times New Roman" w:eastAsia="宋体" w:cs="Times New Roman"/>
          <w:szCs w:val="18"/>
        </w:rPr>
        <w:t>修事指南［</w:t>
      </w:r>
      <w:r>
        <w:rPr>
          <w:rFonts w:ascii="Times New Roman" w:hAnsi="Times New Roman" w:eastAsia="宋体" w:cs="Times New Roman"/>
          <w:szCs w:val="18"/>
        </w:rPr>
        <w:t>M</w:t>
      </w:r>
      <w:r>
        <w:rPr>
          <w:rFonts w:hint="eastAsia" w:ascii="Times New Roman" w:hAnsi="Times New Roman" w:eastAsia="宋体" w:cs="Times New Roman"/>
          <w:szCs w:val="18"/>
        </w:rPr>
        <w:t>］</w:t>
      </w:r>
      <w:r>
        <w:rPr>
          <w:rFonts w:ascii="Times New Roman" w:hAnsi="Times New Roman" w:eastAsia="宋体" w:cs="Times New Roman"/>
          <w:szCs w:val="18"/>
        </w:rPr>
        <w:t>.</w:t>
      </w:r>
      <w:r>
        <w:rPr>
          <w:rFonts w:hint="eastAsia" w:ascii="Times New Roman" w:hAnsi="Times New Roman" w:eastAsia="宋体" w:cs="Times New Roman"/>
          <w:szCs w:val="18"/>
        </w:rPr>
        <w:t>杭州:抱经堂书局</w:t>
      </w:r>
      <w:r>
        <w:rPr>
          <w:rFonts w:ascii="Times New Roman" w:hAnsi="Times New Roman" w:eastAsia="宋体" w:cs="Times New Roman"/>
          <w:szCs w:val="18"/>
        </w:rPr>
        <w:t>,1704.</w:t>
      </w:r>
    </w:p>
    <w:p w14:paraId="062762B1">
      <w:pPr>
        <w:numPr>
          <w:ilvl w:val="0"/>
          <w:numId w:val="2"/>
        </w:numPr>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 xml:space="preserve">[34] </w:t>
      </w:r>
      <w:r>
        <w:rPr>
          <w:rFonts w:hint="eastAsia" w:ascii="Times New Roman" w:hAnsi="Times New Roman" w:eastAsia="宋体" w:cs="Times New Roman"/>
          <w:szCs w:val="18"/>
        </w:rPr>
        <w:t>龚廷贤</w:t>
      </w:r>
      <w:r>
        <w:rPr>
          <w:rFonts w:ascii="Times New Roman" w:hAnsi="Times New Roman" w:eastAsia="宋体" w:cs="Times New Roman"/>
          <w:szCs w:val="18"/>
        </w:rPr>
        <w:t>.</w:t>
      </w:r>
      <w:r>
        <w:rPr>
          <w:rFonts w:hint="eastAsia" w:ascii="Times New Roman" w:hAnsi="Times New Roman" w:eastAsia="宋体" w:cs="Times New Roman"/>
          <w:szCs w:val="18"/>
        </w:rPr>
        <w:t>寿世保元［</w:t>
      </w:r>
      <w:r>
        <w:rPr>
          <w:rFonts w:ascii="Times New Roman" w:hAnsi="Times New Roman" w:eastAsia="宋体" w:cs="Times New Roman"/>
          <w:szCs w:val="18"/>
        </w:rPr>
        <w:t>M</w:t>
      </w:r>
      <w:r>
        <w:rPr>
          <w:rFonts w:hint="eastAsia" w:ascii="Times New Roman" w:hAnsi="Times New Roman" w:eastAsia="宋体" w:cs="Times New Roman"/>
          <w:szCs w:val="18"/>
        </w:rPr>
        <w:t>］</w:t>
      </w:r>
      <w:r>
        <w:rPr>
          <w:rFonts w:ascii="Times New Roman" w:hAnsi="Times New Roman" w:eastAsia="宋体" w:cs="Times New Roman"/>
          <w:szCs w:val="18"/>
        </w:rPr>
        <w:t>.</w:t>
      </w:r>
      <w:r>
        <w:rPr>
          <w:rFonts w:hint="eastAsia" w:ascii="Times New Roman" w:hAnsi="Times New Roman" w:eastAsia="宋体" w:cs="Times New Roman"/>
          <w:szCs w:val="18"/>
        </w:rPr>
        <w:t>上海:上海科学技术出版社</w:t>
      </w:r>
      <w:r>
        <w:rPr>
          <w:rFonts w:ascii="Times New Roman" w:hAnsi="Times New Roman" w:eastAsia="宋体" w:cs="Times New Roman"/>
          <w:szCs w:val="18"/>
        </w:rPr>
        <w:t>,1995.</w:t>
      </w:r>
    </w:p>
    <w:p w14:paraId="7A201D14">
      <w:pPr>
        <w:numPr>
          <w:ilvl w:val="0"/>
          <w:numId w:val="2"/>
        </w:numPr>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 xml:space="preserve">[35] </w:t>
      </w:r>
      <w:r>
        <w:rPr>
          <w:rFonts w:hint="eastAsia" w:ascii="Times New Roman" w:hAnsi="Times New Roman" w:eastAsia="宋体" w:cs="Times New Roman"/>
          <w:szCs w:val="18"/>
        </w:rPr>
        <w:t>吴仪洛</w:t>
      </w:r>
      <w:r>
        <w:rPr>
          <w:rFonts w:ascii="Times New Roman" w:hAnsi="Times New Roman" w:eastAsia="宋体" w:cs="Times New Roman"/>
          <w:szCs w:val="18"/>
        </w:rPr>
        <w:t>.</w:t>
      </w:r>
      <w:r>
        <w:rPr>
          <w:rFonts w:hint="eastAsia" w:ascii="Times New Roman" w:hAnsi="Times New Roman" w:eastAsia="宋体" w:cs="Times New Roman"/>
          <w:szCs w:val="18"/>
        </w:rPr>
        <w:t>本草从新［</w:t>
      </w:r>
      <w:r>
        <w:rPr>
          <w:rFonts w:ascii="Times New Roman" w:hAnsi="Times New Roman" w:eastAsia="宋体" w:cs="Times New Roman"/>
          <w:szCs w:val="18"/>
        </w:rPr>
        <w:t>M</w:t>
      </w:r>
      <w:r>
        <w:rPr>
          <w:rFonts w:hint="eastAsia" w:ascii="Times New Roman" w:hAnsi="Times New Roman" w:eastAsia="宋体" w:cs="Times New Roman"/>
          <w:szCs w:val="18"/>
        </w:rPr>
        <w:t>］</w:t>
      </w:r>
      <w:r>
        <w:rPr>
          <w:rFonts w:ascii="Times New Roman" w:hAnsi="Times New Roman" w:eastAsia="宋体" w:cs="Times New Roman"/>
          <w:szCs w:val="18"/>
        </w:rPr>
        <w:t>.</w:t>
      </w:r>
      <w:r>
        <w:rPr>
          <w:rFonts w:hint="eastAsia" w:ascii="Times New Roman" w:hAnsi="Times New Roman" w:eastAsia="宋体" w:cs="Times New Roman"/>
          <w:szCs w:val="18"/>
        </w:rPr>
        <w:t>太原:山西科学技术出版社</w:t>
      </w:r>
      <w:r>
        <w:rPr>
          <w:rFonts w:ascii="Times New Roman" w:hAnsi="Times New Roman" w:eastAsia="宋体" w:cs="Times New Roman"/>
          <w:szCs w:val="18"/>
        </w:rPr>
        <w:t>,2015.</w:t>
      </w:r>
    </w:p>
    <w:p w14:paraId="6B8E0A46">
      <w:pPr>
        <w:numPr>
          <w:ilvl w:val="0"/>
          <w:numId w:val="2"/>
        </w:numPr>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 xml:space="preserve">[36] </w:t>
      </w:r>
      <w:r>
        <w:rPr>
          <w:rFonts w:hint="eastAsia" w:ascii="Times New Roman" w:hAnsi="Times New Roman" w:eastAsia="宋体" w:cs="Times New Roman"/>
          <w:szCs w:val="18"/>
        </w:rPr>
        <w:t>《外台》王焘</w:t>
      </w:r>
      <w:r>
        <w:rPr>
          <w:rFonts w:ascii="Times New Roman" w:hAnsi="Times New Roman" w:eastAsia="宋体" w:cs="Times New Roman"/>
          <w:szCs w:val="18"/>
        </w:rPr>
        <w:t xml:space="preserve">. </w:t>
      </w:r>
      <w:r>
        <w:rPr>
          <w:rFonts w:hint="eastAsia" w:ascii="Times New Roman" w:hAnsi="Times New Roman" w:eastAsia="宋体" w:cs="Times New Roman"/>
          <w:szCs w:val="18"/>
        </w:rPr>
        <w:t>外台秘要方［</w:t>
      </w:r>
      <w:r>
        <w:rPr>
          <w:rFonts w:ascii="Times New Roman" w:hAnsi="Times New Roman" w:eastAsia="宋体" w:cs="Times New Roman"/>
          <w:szCs w:val="18"/>
        </w:rPr>
        <w:t>M</w:t>
      </w:r>
      <w:r>
        <w:rPr>
          <w:rFonts w:hint="eastAsia" w:ascii="Times New Roman" w:hAnsi="Times New Roman" w:eastAsia="宋体" w:cs="Times New Roman"/>
          <w:szCs w:val="18"/>
        </w:rPr>
        <w:t>］</w:t>
      </w:r>
      <w:r>
        <w:rPr>
          <w:rFonts w:ascii="Times New Roman" w:hAnsi="Times New Roman" w:eastAsia="宋体" w:cs="Times New Roman"/>
          <w:szCs w:val="18"/>
        </w:rPr>
        <w:t xml:space="preserve">. </w:t>
      </w:r>
      <w:r>
        <w:rPr>
          <w:rFonts w:hint="eastAsia" w:ascii="Times New Roman" w:hAnsi="Times New Roman" w:eastAsia="宋体" w:cs="Times New Roman"/>
          <w:szCs w:val="18"/>
        </w:rPr>
        <w:t>高文铸</w:t>
      </w:r>
      <w:r>
        <w:rPr>
          <w:rFonts w:ascii="Times New Roman" w:hAnsi="Times New Roman" w:eastAsia="宋体" w:cs="Times New Roman"/>
          <w:szCs w:val="18"/>
        </w:rPr>
        <w:t>,</w:t>
      </w:r>
      <w:r>
        <w:rPr>
          <w:rFonts w:hint="eastAsia" w:ascii="Times New Roman" w:hAnsi="Times New Roman" w:eastAsia="宋体" w:cs="Times New Roman"/>
          <w:szCs w:val="18"/>
        </w:rPr>
        <w:t>校注</w:t>
      </w:r>
      <w:r>
        <w:rPr>
          <w:rFonts w:ascii="Times New Roman" w:hAnsi="Times New Roman" w:eastAsia="宋体" w:cs="Times New Roman"/>
          <w:szCs w:val="18"/>
        </w:rPr>
        <w:t xml:space="preserve">. </w:t>
      </w:r>
      <w:r>
        <w:rPr>
          <w:rFonts w:hint="eastAsia" w:ascii="Times New Roman" w:hAnsi="Times New Roman" w:eastAsia="宋体" w:cs="Times New Roman"/>
          <w:szCs w:val="18"/>
        </w:rPr>
        <w:t>北京:华夏出版社</w:t>
      </w:r>
      <w:r>
        <w:rPr>
          <w:rFonts w:ascii="Times New Roman" w:hAnsi="Times New Roman" w:eastAsia="宋体" w:cs="Times New Roman"/>
          <w:szCs w:val="18"/>
        </w:rPr>
        <w:t>,1993</w:t>
      </w:r>
      <w:r>
        <w:rPr>
          <w:rFonts w:hint="eastAsia" w:ascii="Times New Roman" w:hAnsi="Times New Roman" w:eastAsia="宋体" w:cs="Times New Roman"/>
          <w:szCs w:val="18"/>
        </w:rPr>
        <w:t>:</w:t>
      </w:r>
      <w:r>
        <w:rPr>
          <w:rFonts w:ascii="Times New Roman" w:hAnsi="Times New Roman" w:eastAsia="宋体" w:cs="Times New Roman"/>
          <w:szCs w:val="18"/>
        </w:rPr>
        <w:t>910-915.</w:t>
      </w:r>
    </w:p>
    <w:p w14:paraId="044D1139">
      <w:pPr>
        <w:numPr>
          <w:ilvl w:val="0"/>
          <w:numId w:val="2"/>
        </w:numPr>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 xml:space="preserve">[37] </w:t>
      </w:r>
      <w:r>
        <w:rPr>
          <w:rFonts w:hint="eastAsia" w:ascii="Times New Roman" w:hAnsi="Times New Roman" w:eastAsia="宋体" w:cs="Times New Roman"/>
          <w:szCs w:val="18"/>
        </w:rPr>
        <w:t>陈嘉谟</w:t>
      </w:r>
      <w:r>
        <w:rPr>
          <w:rFonts w:ascii="Times New Roman" w:hAnsi="Times New Roman" w:eastAsia="宋体" w:cs="Times New Roman"/>
          <w:szCs w:val="18"/>
        </w:rPr>
        <w:t xml:space="preserve">. </w:t>
      </w:r>
      <w:r>
        <w:rPr>
          <w:rFonts w:hint="eastAsia" w:ascii="Times New Roman" w:hAnsi="Times New Roman" w:eastAsia="宋体" w:cs="Times New Roman"/>
          <w:szCs w:val="18"/>
        </w:rPr>
        <w:t>本草蒙筌［</w:t>
      </w:r>
      <w:r>
        <w:rPr>
          <w:rFonts w:ascii="Times New Roman" w:hAnsi="Times New Roman" w:eastAsia="宋体" w:cs="Times New Roman"/>
          <w:szCs w:val="18"/>
        </w:rPr>
        <w:t>M</w:t>
      </w:r>
      <w:r>
        <w:rPr>
          <w:rFonts w:hint="eastAsia" w:ascii="Times New Roman" w:hAnsi="Times New Roman" w:eastAsia="宋体" w:cs="Times New Roman"/>
          <w:szCs w:val="18"/>
        </w:rPr>
        <w:t>］</w:t>
      </w:r>
      <w:r>
        <w:rPr>
          <w:rFonts w:ascii="Times New Roman" w:hAnsi="Times New Roman" w:eastAsia="宋体" w:cs="Times New Roman"/>
          <w:szCs w:val="18"/>
        </w:rPr>
        <w:t xml:space="preserve">. </w:t>
      </w:r>
      <w:r>
        <w:rPr>
          <w:rFonts w:hint="eastAsia" w:ascii="Times New Roman" w:hAnsi="Times New Roman" w:eastAsia="宋体" w:cs="Times New Roman"/>
          <w:szCs w:val="18"/>
        </w:rPr>
        <w:t>太原:山西科学技术出版社</w:t>
      </w:r>
      <w:r>
        <w:rPr>
          <w:rFonts w:ascii="Times New Roman" w:hAnsi="Times New Roman" w:eastAsia="宋体" w:cs="Times New Roman"/>
          <w:szCs w:val="18"/>
        </w:rPr>
        <w:t>,2015.</w:t>
      </w:r>
    </w:p>
    <w:p w14:paraId="01C057DE">
      <w:pPr>
        <w:numPr>
          <w:ilvl w:val="0"/>
          <w:numId w:val="2"/>
        </w:numPr>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 xml:space="preserve">[38] </w:t>
      </w:r>
      <w:r>
        <w:rPr>
          <w:rFonts w:hint="eastAsia" w:ascii="Times New Roman" w:hAnsi="Times New Roman" w:eastAsia="宋体" w:cs="Times New Roman"/>
          <w:szCs w:val="18"/>
        </w:rPr>
        <w:t>雷敩</w:t>
      </w:r>
      <w:r>
        <w:rPr>
          <w:rFonts w:ascii="Times New Roman" w:hAnsi="Times New Roman" w:eastAsia="宋体" w:cs="Times New Roman"/>
          <w:szCs w:val="18"/>
        </w:rPr>
        <w:t>.</w:t>
      </w:r>
      <w:r>
        <w:rPr>
          <w:rFonts w:hint="eastAsia" w:ascii="Times New Roman" w:hAnsi="Times New Roman" w:eastAsia="宋体" w:cs="Times New Roman"/>
          <w:szCs w:val="18"/>
        </w:rPr>
        <w:t>雷公炮炙论</w:t>
      </w:r>
      <w:r>
        <w:rPr>
          <w:rFonts w:ascii="Times New Roman" w:hAnsi="Times New Roman" w:eastAsia="宋体" w:cs="Times New Roman"/>
          <w:szCs w:val="18"/>
        </w:rPr>
        <w:t>[M].</w:t>
      </w:r>
      <w:r>
        <w:rPr>
          <w:rFonts w:hint="eastAsia" w:ascii="Times New Roman" w:hAnsi="Times New Roman" w:eastAsia="宋体" w:cs="Times New Roman"/>
          <w:szCs w:val="18"/>
        </w:rPr>
        <w:t>上海:上海中医学院出版社</w:t>
      </w:r>
      <w:r>
        <w:rPr>
          <w:rFonts w:ascii="Times New Roman" w:hAnsi="Times New Roman" w:eastAsia="宋体" w:cs="Times New Roman"/>
          <w:szCs w:val="18"/>
        </w:rPr>
        <w:t>,1986.</w:t>
      </w:r>
    </w:p>
    <w:p w14:paraId="3B9B41B8">
      <w:pPr>
        <w:numPr>
          <w:ilvl w:val="0"/>
          <w:numId w:val="2"/>
        </w:numPr>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 xml:space="preserve">[39] </w:t>
      </w:r>
      <w:r>
        <w:rPr>
          <w:rFonts w:hint="eastAsia" w:ascii="Times New Roman" w:hAnsi="Times New Roman" w:eastAsia="宋体" w:cs="Times New Roman"/>
          <w:szCs w:val="18"/>
        </w:rPr>
        <w:t>兰茂</w:t>
      </w:r>
      <w:r>
        <w:rPr>
          <w:rFonts w:ascii="Times New Roman" w:hAnsi="Times New Roman" w:eastAsia="宋体" w:cs="Times New Roman"/>
          <w:szCs w:val="18"/>
        </w:rPr>
        <w:t xml:space="preserve">. </w:t>
      </w:r>
      <w:r>
        <w:rPr>
          <w:rFonts w:hint="eastAsia" w:ascii="Times New Roman" w:hAnsi="Times New Roman" w:eastAsia="宋体" w:cs="Times New Roman"/>
          <w:szCs w:val="18"/>
        </w:rPr>
        <w:t>滇南本草［</w:t>
      </w:r>
      <w:r>
        <w:rPr>
          <w:rFonts w:ascii="Times New Roman" w:hAnsi="Times New Roman" w:eastAsia="宋体" w:cs="Times New Roman"/>
          <w:szCs w:val="18"/>
        </w:rPr>
        <w:t>M</w:t>
      </w:r>
      <w:r>
        <w:rPr>
          <w:rFonts w:hint="eastAsia" w:ascii="Times New Roman" w:hAnsi="Times New Roman" w:eastAsia="宋体" w:cs="Times New Roman"/>
          <w:szCs w:val="18"/>
        </w:rPr>
        <w:t>］</w:t>
      </w:r>
      <w:r>
        <w:rPr>
          <w:rFonts w:ascii="Times New Roman" w:hAnsi="Times New Roman" w:eastAsia="宋体" w:cs="Times New Roman"/>
          <w:szCs w:val="18"/>
        </w:rPr>
        <w:t xml:space="preserve">. </w:t>
      </w:r>
      <w:r>
        <w:rPr>
          <w:rFonts w:hint="eastAsia" w:ascii="Times New Roman" w:hAnsi="Times New Roman" w:eastAsia="宋体" w:cs="Times New Roman"/>
          <w:szCs w:val="18"/>
        </w:rPr>
        <w:t>于乃义</w:t>
      </w:r>
      <w:r>
        <w:rPr>
          <w:rFonts w:ascii="Times New Roman" w:hAnsi="Times New Roman" w:eastAsia="宋体" w:cs="Times New Roman"/>
          <w:szCs w:val="18"/>
        </w:rPr>
        <w:t>,</w:t>
      </w:r>
      <w:r>
        <w:rPr>
          <w:rFonts w:hint="eastAsia" w:ascii="Times New Roman" w:hAnsi="Times New Roman" w:eastAsia="宋体" w:cs="Times New Roman"/>
          <w:szCs w:val="18"/>
        </w:rPr>
        <w:t>整理</w:t>
      </w:r>
      <w:r>
        <w:rPr>
          <w:rFonts w:ascii="Times New Roman" w:hAnsi="Times New Roman" w:eastAsia="宋体" w:cs="Times New Roman"/>
          <w:szCs w:val="18"/>
        </w:rPr>
        <w:t>.</w:t>
      </w:r>
      <w:r>
        <w:rPr>
          <w:rFonts w:hint="eastAsia" w:ascii="Times New Roman" w:hAnsi="Times New Roman" w:eastAsia="宋体" w:cs="Times New Roman"/>
          <w:szCs w:val="18"/>
        </w:rPr>
        <w:t>云南:云南科学技术出版社</w:t>
      </w:r>
      <w:r>
        <w:rPr>
          <w:rFonts w:ascii="Times New Roman" w:hAnsi="Times New Roman" w:eastAsia="宋体" w:cs="Times New Roman"/>
          <w:szCs w:val="18"/>
        </w:rPr>
        <w:t>,2000.</w:t>
      </w:r>
    </w:p>
    <w:p w14:paraId="12C1A12F">
      <w:pPr>
        <w:numPr>
          <w:ilvl w:val="0"/>
          <w:numId w:val="2"/>
        </w:numPr>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 xml:space="preserve">[40] </w:t>
      </w:r>
      <w:r>
        <w:rPr>
          <w:rFonts w:hint="eastAsia" w:ascii="Times New Roman" w:hAnsi="Times New Roman" w:eastAsia="宋体" w:cs="Times New Roman"/>
          <w:szCs w:val="18"/>
        </w:rPr>
        <w:t>尚志钧辑校</w:t>
      </w:r>
      <w:r>
        <w:rPr>
          <w:rFonts w:ascii="Times New Roman" w:hAnsi="Times New Roman" w:eastAsia="宋体" w:cs="Times New Roman"/>
          <w:szCs w:val="18"/>
        </w:rPr>
        <w:t>.</w:t>
      </w:r>
      <w:r>
        <w:rPr>
          <w:rFonts w:hint="eastAsia" w:ascii="Times New Roman" w:hAnsi="Times New Roman" w:eastAsia="宋体" w:cs="Times New Roman"/>
          <w:szCs w:val="18"/>
        </w:rPr>
        <w:t>本草图经</w:t>
      </w:r>
      <w:r>
        <w:rPr>
          <w:rFonts w:ascii="Times New Roman" w:hAnsi="Times New Roman" w:eastAsia="宋体" w:cs="Times New Roman"/>
          <w:szCs w:val="18"/>
        </w:rPr>
        <w:t>[M].</w:t>
      </w:r>
      <w:r>
        <w:rPr>
          <w:rFonts w:hint="eastAsia" w:ascii="Times New Roman" w:hAnsi="Times New Roman" w:eastAsia="宋体" w:cs="Times New Roman"/>
          <w:szCs w:val="18"/>
        </w:rPr>
        <w:t>济南</w:t>
      </w:r>
      <w:r>
        <w:rPr>
          <w:rFonts w:ascii="Times New Roman" w:hAnsi="Times New Roman" w:eastAsia="宋体" w:cs="Times New Roman"/>
          <w:szCs w:val="18"/>
        </w:rPr>
        <w:t>:</w:t>
      </w:r>
      <w:r>
        <w:rPr>
          <w:rFonts w:hint="eastAsia" w:ascii="Times New Roman" w:hAnsi="Times New Roman" w:eastAsia="宋体" w:cs="Times New Roman"/>
          <w:szCs w:val="18"/>
        </w:rPr>
        <w:t>山东中医学院影印</w:t>
      </w:r>
      <w:r>
        <w:rPr>
          <w:rFonts w:ascii="Times New Roman" w:hAnsi="Times New Roman" w:eastAsia="宋体" w:cs="Times New Roman"/>
          <w:szCs w:val="18"/>
        </w:rPr>
        <w:t>, 1983:83</w:t>
      </w:r>
    </w:p>
    <w:p w14:paraId="2A954A5B">
      <w:pPr>
        <w:numPr>
          <w:ilvl w:val="0"/>
          <w:numId w:val="2"/>
        </w:numPr>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 xml:space="preserve">[41] </w:t>
      </w:r>
      <w:r>
        <w:rPr>
          <w:rFonts w:hint="eastAsia" w:ascii="Times New Roman" w:hAnsi="Times New Roman" w:eastAsia="宋体" w:cs="Times New Roman"/>
          <w:szCs w:val="18"/>
        </w:rPr>
        <w:t>王怀隐</w:t>
      </w:r>
      <w:r>
        <w:rPr>
          <w:rFonts w:ascii="Times New Roman" w:hAnsi="Times New Roman" w:eastAsia="宋体" w:cs="Times New Roman"/>
          <w:szCs w:val="18"/>
        </w:rPr>
        <w:t>.</w:t>
      </w:r>
      <w:r>
        <w:rPr>
          <w:rFonts w:hint="eastAsia" w:ascii="Times New Roman" w:hAnsi="Times New Roman" w:eastAsia="宋体" w:cs="Times New Roman"/>
          <w:szCs w:val="18"/>
        </w:rPr>
        <w:t>太平圣惠方</w:t>
      </w:r>
      <w:r>
        <w:rPr>
          <w:rFonts w:ascii="Times New Roman" w:hAnsi="Times New Roman" w:eastAsia="宋体" w:cs="Times New Roman"/>
          <w:szCs w:val="18"/>
        </w:rPr>
        <w:t>[M].</w:t>
      </w:r>
      <w:r>
        <w:rPr>
          <w:rFonts w:hint="eastAsia" w:ascii="Times New Roman" w:hAnsi="Times New Roman" w:eastAsia="宋体" w:cs="Times New Roman"/>
          <w:szCs w:val="18"/>
        </w:rPr>
        <w:t>北京</w:t>
      </w:r>
      <w:r>
        <w:rPr>
          <w:rFonts w:ascii="Times New Roman" w:hAnsi="Times New Roman" w:eastAsia="宋体" w:cs="Times New Roman"/>
          <w:szCs w:val="18"/>
        </w:rPr>
        <w:t>:</w:t>
      </w:r>
      <w:r>
        <w:rPr>
          <w:rFonts w:hint="eastAsia" w:ascii="Times New Roman" w:hAnsi="Times New Roman" w:eastAsia="宋体" w:cs="Times New Roman"/>
          <w:szCs w:val="18"/>
        </w:rPr>
        <w:t>人民卫生出版社</w:t>
      </w:r>
      <w:r>
        <w:rPr>
          <w:rFonts w:ascii="Times New Roman" w:hAnsi="Times New Roman" w:eastAsia="宋体" w:cs="Times New Roman"/>
          <w:szCs w:val="18"/>
        </w:rPr>
        <w:t xml:space="preserve">, 1958. </w:t>
      </w:r>
    </w:p>
    <w:p w14:paraId="1ECCB832">
      <w:pPr>
        <w:numPr>
          <w:ilvl w:val="0"/>
          <w:numId w:val="2"/>
        </w:numPr>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 xml:space="preserve">[42] </w:t>
      </w:r>
      <w:r>
        <w:rPr>
          <w:rFonts w:hint="eastAsia" w:ascii="Times New Roman" w:hAnsi="Times New Roman" w:eastAsia="宋体" w:cs="Times New Roman"/>
          <w:szCs w:val="18"/>
        </w:rPr>
        <w:t>严西亭</w:t>
      </w:r>
      <w:r>
        <w:rPr>
          <w:rFonts w:ascii="Times New Roman" w:hAnsi="Times New Roman" w:eastAsia="宋体" w:cs="Times New Roman"/>
          <w:szCs w:val="18"/>
        </w:rPr>
        <w:t xml:space="preserve">, </w:t>
      </w:r>
      <w:r>
        <w:rPr>
          <w:rFonts w:hint="eastAsia" w:ascii="Times New Roman" w:hAnsi="Times New Roman" w:eastAsia="宋体" w:cs="Times New Roman"/>
          <w:szCs w:val="18"/>
        </w:rPr>
        <w:t>施澹宁</w:t>
      </w:r>
      <w:r>
        <w:rPr>
          <w:rFonts w:ascii="Times New Roman" w:hAnsi="Times New Roman" w:eastAsia="宋体" w:cs="Times New Roman"/>
          <w:szCs w:val="18"/>
        </w:rPr>
        <w:t xml:space="preserve">, </w:t>
      </w:r>
      <w:r>
        <w:rPr>
          <w:rFonts w:hint="eastAsia" w:ascii="Times New Roman" w:hAnsi="Times New Roman" w:eastAsia="宋体" w:cs="Times New Roman"/>
          <w:szCs w:val="18"/>
        </w:rPr>
        <w:t>洪缉</w:t>
      </w:r>
      <w:r>
        <w:rPr>
          <w:rFonts w:ascii="Times New Roman" w:hAnsi="Times New Roman" w:eastAsia="宋体" w:cs="Times New Roman"/>
          <w:szCs w:val="18"/>
        </w:rPr>
        <w:t>.</w:t>
      </w:r>
      <w:r>
        <w:rPr>
          <w:rFonts w:hint="eastAsia" w:ascii="Times New Roman" w:hAnsi="Times New Roman" w:eastAsia="宋体" w:cs="Times New Roman"/>
          <w:szCs w:val="18"/>
        </w:rPr>
        <w:t>得配本草</w:t>
      </w:r>
      <w:r>
        <w:rPr>
          <w:rFonts w:ascii="Times New Roman" w:hAnsi="Times New Roman" w:eastAsia="宋体" w:cs="Times New Roman"/>
          <w:szCs w:val="18"/>
        </w:rPr>
        <w:t>[M].</w:t>
      </w:r>
      <w:r>
        <w:rPr>
          <w:rFonts w:hint="eastAsia" w:ascii="Times New Roman" w:hAnsi="Times New Roman" w:eastAsia="宋体" w:cs="Times New Roman"/>
          <w:szCs w:val="18"/>
        </w:rPr>
        <w:t>上海</w:t>
      </w:r>
      <w:r>
        <w:rPr>
          <w:rFonts w:ascii="Times New Roman" w:hAnsi="Times New Roman" w:eastAsia="宋体" w:cs="Times New Roman"/>
          <w:szCs w:val="18"/>
        </w:rPr>
        <w:t>:</w:t>
      </w:r>
      <w:r>
        <w:rPr>
          <w:rFonts w:hint="eastAsia" w:ascii="Times New Roman" w:hAnsi="Times New Roman" w:eastAsia="宋体" w:cs="Times New Roman"/>
          <w:szCs w:val="18"/>
        </w:rPr>
        <w:t>上海科学技术出版社</w:t>
      </w:r>
      <w:r>
        <w:rPr>
          <w:rFonts w:ascii="Times New Roman" w:hAnsi="Times New Roman" w:eastAsia="宋体" w:cs="Times New Roman"/>
          <w:szCs w:val="18"/>
        </w:rPr>
        <w:t>, 1958:31.</w:t>
      </w:r>
    </w:p>
    <w:p w14:paraId="5C2B0C71">
      <w:pPr>
        <w:numPr>
          <w:ilvl w:val="0"/>
          <w:numId w:val="2"/>
        </w:numPr>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[43]</w:t>
      </w:r>
      <w:r>
        <w:rPr>
          <w:rFonts w:ascii="Times New Roman" w:hAnsi="Times New Roman" w:eastAsia="宋体" w:cs="Times New Roman"/>
          <w:szCs w:val="21"/>
        </w:rPr>
        <w:t xml:space="preserve"> 斯金平,裘雨虹,孙云娟,刘京晶,陈东红,石艳,蒋剑春</w:t>
      </w:r>
      <w:r>
        <w:rPr>
          <w:rFonts w:hint="eastAsia" w:ascii="Times New Roman" w:hAnsi="Times New Roman" w:eastAsia="宋体" w:cs="Times New Roman"/>
          <w:szCs w:val="21"/>
        </w:rPr>
        <w:t>.</w:t>
      </w:r>
      <w:r>
        <w:rPr>
          <w:rFonts w:ascii="Times New Roman" w:hAnsi="Times New Roman" w:eastAsia="宋体" w:cs="Times New Roman"/>
          <w:szCs w:val="21"/>
        </w:rPr>
        <w:t>新兴林粮——黄精产业发展战略研究[J]</w:t>
      </w:r>
      <w:r>
        <w:rPr>
          <w:rFonts w:hint="eastAsia" w:ascii="Times New Roman" w:hAnsi="Times New Roman" w:eastAsia="宋体" w:cs="Times New Roman"/>
          <w:szCs w:val="21"/>
        </w:rPr>
        <w:t>.</w:t>
      </w:r>
      <w:r>
        <w:rPr>
          <w:rFonts w:ascii="Times New Roman" w:hAnsi="Times New Roman" w:eastAsia="宋体" w:cs="Times New Roman"/>
          <w:szCs w:val="21"/>
        </w:rPr>
        <w:t>中国工程科学</w:t>
      </w:r>
      <w:r>
        <w:rPr>
          <w:rFonts w:hint="eastAsia" w:ascii="Times New Roman" w:hAnsi="Times New Roman" w:eastAsia="宋体" w:cs="Times New Roman"/>
          <w:szCs w:val="21"/>
        </w:rPr>
        <w:t>,</w:t>
      </w:r>
      <w:r>
        <w:rPr>
          <w:rFonts w:ascii="Times New Roman" w:hAnsi="Times New Roman" w:eastAsia="宋体" w:cs="Times New Roman"/>
          <w:szCs w:val="21"/>
        </w:rPr>
        <w:t>2024,26(2):113-120.</w:t>
      </w:r>
    </w:p>
    <w:p w14:paraId="14864C0E">
      <w:pPr>
        <w:widowControl/>
        <w:numPr>
          <w:ilvl w:val="0"/>
          <w:numId w:val="2"/>
        </w:numPr>
        <w:spacing w:line="360" w:lineRule="auto"/>
        <w:ind w:left="420" w:hanging="420" w:hangingChars="200"/>
        <w:rPr>
          <w:rFonts w:ascii="Times New Roman" w:hAnsi="Times New Roman" w:eastAsia="宋体" w:cs="Times New Roman"/>
          <w:szCs w:val="21"/>
        </w:rPr>
      </w:pPr>
      <w:r>
        <w:rPr>
          <w:rFonts w:ascii="Times New Roman" w:hAnsi="Times New Roman" w:eastAsia="宋体" w:cs="Times New Roman"/>
          <w:szCs w:val="18"/>
        </w:rPr>
        <w:t>[44]</w:t>
      </w:r>
      <w:r>
        <w:rPr>
          <w:rFonts w:hint="eastAsia" w:ascii="Times New Roman" w:hAnsi="Times New Roman" w:eastAsia="宋体" w:cs="Times New Roman"/>
          <w:szCs w:val="21"/>
        </w:rPr>
        <w:t>梁焕焕.不同类型多花黄精生物学特性及产量品质比较研究</w:t>
      </w:r>
      <w:r>
        <w:rPr>
          <w:rFonts w:hint="eastAsia" w:ascii="Times New Roman" w:hAnsi="Times New Roman" w:eastAsia="宋体" w:cs="Times New Roman"/>
          <w:szCs w:val="18"/>
        </w:rPr>
        <w:t>[D].</w:t>
      </w:r>
      <w:r>
        <w:rPr>
          <w:rFonts w:hint="eastAsia" w:ascii="Times New Roman" w:hAnsi="Times New Roman" w:eastAsia="宋体" w:cs="Times New Roman"/>
          <w:szCs w:val="21"/>
        </w:rPr>
        <w:t>南昌:江西农业大学,</w:t>
      </w:r>
      <w:r>
        <w:rPr>
          <w:rFonts w:ascii="Times New Roman" w:hAnsi="Times New Roman" w:eastAsia="宋体" w:cs="Times New Roman"/>
          <w:szCs w:val="21"/>
        </w:rPr>
        <w:t>2022</w:t>
      </w:r>
      <w:r>
        <w:rPr>
          <w:rFonts w:hint="eastAsia" w:ascii="Times New Roman" w:hAnsi="Times New Roman" w:eastAsia="宋体" w:cs="Times New Roman"/>
          <w:szCs w:val="21"/>
        </w:rPr>
        <w:t>.</w:t>
      </w:r>
    </w:p>
    <w:p w14:paraId="648CE25D">
      <w:pPr>
        <w:widowControl/>
        <w:numPr>
          <w:ilvl w:val="0"/>
          <w:numId w:val="2"/>
        </w:numPr>
        <w:spacing w:line="360" w:lineRule="auto"/>
        <w:ind w:left="420" w:hanging="420" w:hangingChars="200"/>
        <w:rPr>
          <w:rFonts w:ascii="Times New Roman" w:hAnsi="Times New Roman" w:eastAsia="宋体" w:cs="Times New Roman"/>
          <w:szCs w:val="21"/>
        </w:rPr>
      </w:pPr>
      <w:r>
        <w:rPr>
          <w:rFonts w:ascii="Times New Roman" w:hAnsi="Times New Roman" w:eastAsia="宋体" w:cs="Times New Roman"/>
          <w:szCs w:val="18"/>
        </w:rPr>
        <w:t>[45]</w:t>
      </w:r>
      <w:r>
        <w:rPr>
          <w:rFonts w:hint="eastAsia" w:ascii="Times New Roman" w:hAnsi="Times New Roman" w:eastAsia="宋体" w:cs="Times New Roman"/>
          <w:szCs w:val="21"/>
        </w:rPr>
        <w:t>詹慧慧.基于糖类成分对黄精、玉竹炆法炮制质量分析研究</w:t>
      </w:r>
      <w:r>
        <w:rPr>
          <w:rFonts w:hint="eastAsia" w:ascii="Times New Roman" w:hAnsi="Times New Roman" w:eastAsia="宋体" w:cs="Times New Roman"/>
          <w:szCs w:val="18"/>
        </w:rPr>
        <w:t>[D].</w:t>
      </w:r>
      <w:r>
        <w:rPr>
          <w:rFonts w:hint="eastAsia" w:ascii="Times New Roman" w:hAnsi="Times New Roman" w:eastAsia="宋体" w:cs="Times New Roman"/>
          <w:szCs w:val="21"/>
        </w:rPr>
        <w:t>南昌:江西中医药大学,</w:t>
      </w:r>
      <w:r>
        <w:rPr>
          <w:rFonts w:ascii="Times New Roman" w:hAnsi="Times New Roman" w:eastAsia="宋体" w:cs="Times New Roman"/>
          <w:szCs w:val="21"/>
        </w:rPr>
        <w:t>2022</w:t>
      </w:r>
      <w:r>
        <w:rPr>
          <w:rFonts w:hint="eastAsia" w:ascii="Times New Roman" w:hAnsi="Times New Roman" w:eastAsia="宋体" w:cs="Times New Roman"/>
          <w:szCs w:val="21"/>
        </w:rPr>
        <w:t>.</w:t>
      </w:r>
    </w:p>
    <w:p w14:paraId="245D3652">
      <w:pPr>
        <w:numPr>
          <w:ilvl w:val="0"/>
          <w:numId w:val="2"/>
        </w:numPr>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[46]</w:t>
      </w:r>
      <w:r>
        <w:rPr>
          <w:rFonts w:hint="eastAsia" w:ascii="Times New Roman" w:hAnsi="Times New Roman" w:eastAsia="宋体" w:cs="Times New Roman"/>
          <w:szCs w:val="18"/>
        </w:rPr>
        <w:t>周</w:t>
      </w:r>
      <w:r>
        <w:rPr>
          <w:rFonts w:ascii="Times New Roman" w:hAnsi="Times New Roman" w:eastAsia="宋体" w:cs="Times New Roman"/>
          <w:szCs w:val="18"/>
        </w:rPr>
        <w:t xml:space="preserve"> </w:t>
      </w:r>
      <w:r>
        <w:rPr>
          <w:rFonts w:hint="eastAsia" w:ascii="Times New Roman" w:hAnsi="Times New Roman" w:eastAsia="宋体" w:cs="Times New Roman"/>
          <w:szCs w:val="18"/>
        </w:rPr>
        <w:t>晔</w:t>
      </w:r>
      <w:r>
        <w:rPr>
          <w:rFonts w:ascii="Times New Roman" w:hAnsi="Times New Roman" w:eastAsia="宋体" w:cs="Times New Roman"/>
          <w:szCs w:val="18"/>
        </w:rPr>
        <w:t xml:space="preserve">, </w:t>
      </w:r>
      <w:r>
        <w:rPr>
          <w:rFonts w:hint="eastAsia" w:ascii="Times New Roman" w:hAnsi="Times New Roman" w:eastAsia="宋体" w:cs="Times New Roman"/>
          <w:szCs w:val="18"/>
        </w:rPr>
        <w:t>王润玲</w:t>
      </w:r>
      <w:r>
        <w:rPr>
          <w:rFonts w:ascii="Times New Roman" w:hAnsi="Times New Roman" w:eastAsia="宋体" w:cs="Times New Roman"/>
          <w:szCs w:val="18"/>
        </w:rPr>
        <w:t xml:space="preserve">, </w:t>
      </w:r>
      <w:r>
        <w:rPr>
          <w:rFonts w:hint="eastAsia" w:ascii="Times New Roman" w:hAnsi="Times New Roman" w:eastAsia="宋体" w:cs="Times New Roman"/>
          <w:szCs w:val="18"/>
        </w:rPr>
        <w:t>陈启蒙</w:t>
      </w:r>
      <w:r>
        <w:rPr>
          <w:rFonts w:ascii="Times New Roman" w:hAnsi="Times New Roman" w:eastAsia="宋体" w:cs="Times New Roman"/>
          <w:szCs w:val="18"/>
        </w:rPr>
        <w:t xml:space="preserve">, </w:t>
      </w:r>
      <w:r>
        <w:rPr>
          <w:rFonts w:hint="eastAsia" w:ascii="Times New Roman" w:hAnsi="Times New Roman" w:eastAsia="宋体" w:cs="Times New Roman"/>
          <w:szCs w:val="18"/>
        </w:rPr>
        <w:t>等</w:t>
      </w:r>
      <w:r>
        <w:rPr>
          <w:rFonts w:ascii="Times New Roman" w:hAnsi="Times New Roman" w:eastAsia="宋体" w:cs="Times New Roman"/>
          <w:szCs w:val="18"/>
        </w:rPr>
        <w:t xml:space="preserve">. </w:t>
      </w:r>
      <w:r>
        <w:rPr>
          <w:rFonts w:hint="eastAsia" w:ascii="Times New Roman" w:hAnsi="Times New Roman" w:eastAsia="宋体" w:cs="Times New Roman"/>
          <w:szCs w:val="18"/>
        </w:rPr>
        <w:t>中药黄精的研究进展</w:t>
      </w:r>
      <w:r>
        <w:rPr>
          <w:rFonts w:ascii="Times New Roman" w:hAnsi="Times New Roman" w:eastAsia="宋体" w:cs="Times New Roman"/>
          <w:szCs w:val="18"/>
        </w:rPr>
        <w:t xml:space="preserve">[J]. </w:t>
      </w:r>
      <w:r>
        <w:rPr>
          <w:rFonts w:hint="eastAsia" w:ascii="Times New Roman" w:hAnsi="Times New Roman" w:eastAsia="宋体" w:cs="Times New Roman"/>
          <w:szCs w:val="18"/>
        </w:rPr>
        <w:t>天津医科大学学报</w:t>
      </w:r>
      <w:r>
        <w:rPr>
          <w:rFonts w:ascii="Times New Roman" w:hAnsi="Times New Roman" w:eastAsia="宋体" w:cs="Times New Roman"/>
          <w:szCs w:val="18"/>
        </w:rPr>
        <w:t>, 2004, 10: 10-12.</w:t>
      </w:r>
    </w:p>
    <w:p w14:paraId="04B90E8D">
      <w:pPr>
        <w:numPr>
          <w:ilvl w:val="0"/>
          <w:numId w:val="2"/>
        </w:numPr>
        <w:tabs>
          <w:tab w:val="left" w:pos="312"/>
        </w:tabs>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 xml:space="preserve">[47] </w:t>
      </w:r>
      <w:r>
        <w:rPr>
          <w:rFonts w:hint="eastAsia" w:ascii="Times New Roman" w:hAnsi="Times New Roman" w:eastAsia="宋体" w:cs="Times New Roman"/>
          <w:szCs w:val="18"/>
        </w:rPr>
        <w:t>董治程</w:t>
      </w:r>
      <w:r>
        <w:rPr>
          <w:rFonts w:ascii="Times New Roman" w:hAnsi="Times New Roman" w:eastAsia="宋体" w:cs="Times New Roman"/>
          <w:szCs w:val="18"/>
        </w:rPr>
        <w:t xml:space="preserve">. </w:t>
      </w:r>
      <w:r>
        <w:rPr>
          <w:rFonts w:hint="eastAsia" w:ascii="Times New Roman" w:hAnsi="Times New Roman" w:eastAsia="宋体" w:cs="Times New Roman"/>
          <w:szCs w:val="18"/>
        </w:rPr>
        <w:t>不同产地黄精的资源现状调查与质量分析</w:t>
      </w:r>
      <w:r>
        <w:rPr>
          <w:rFonts w:ascii="Times New Roman" w:hAnsi="Times New Roman" w:eastAsia="宋体" w:cs="Times New Roman"/>
          <w:szCs w:val="18"/>
        </w:rPr>
        <w:t xml:space="preserve">[D]. </w:t>
      </w:r>
      <w:r>
        <w:rPr>
          <w:rFonts w:hint="eastAsia" w:ascii="Times New Roman" w:hAnsi="Times New Roman" w:eastAsia="宋体" w:cs="Times New Roman"/>
          <w:szCs w:val="18"/>
        </w:rPr>
        <w:t>长沙</w:t>
      </w:r>
      <w:r>
        <w:rPr>
          <w:rFonts w:ascii="Times New Roman" w:hAnsi="Times New Roman" w:eastAsia="宋体" w:cs="Times New Roman"/>
          <w:szCs w:val="18"/>
        </w:rPr>
        <w:t xml:space="preserve">: </w:t>
      </w:r>
      <w:r>
        <w:rPr>
          <w:rFonts w:hint="eastAsia" w:ascii="Times New Roman" w:hAnsi="Times New Roman" w:eastAsia="宋体" w:cs="Times New Roman"/>
          <w:szCs w:val="18"/>
        </w:rPr>
        <w:t>湖南中医药大学</w:t>
      </w:r>
      <w:r>
        <w:rPr>
          <w:rFonts w:ascii="Times New Roman" w:hAnsi="Times New Roman" w:eastAsia="宋体" w:cs="Times New Roman"/>
          <w:szCs w:val="18"/>
        </w:rPr>
        <w:t>, 2012.</w:t>
      </w:r>
    </w:p>
    <w:p w14:paraId="6DA685A6">
      <w:pPr>
        <w:numPr>
          <w:ilvl w:val="0"/>
          <w:numId w:val="2"/>
        </w:numPr>
        <w:tabs>
          <w:tab w:val="left" w:pos="312"/>
        </w:tabs>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 xml:space="preserve">[48 </w:t>
      </w:r>
      <w:r>
        <w:rPr>
          <w:rFonts w:hint="eastAsia" w:ascii="Times New Roman" w:hAnsi="Times New Roman" w:eastAsia="宋体" w:cs="Times New Roman"/>
          <w:szCs w:val="18"/>
        </w:rPr>
        <w:t>刘京晶</w:t>
      </w:r>
      <w:r>
        <w:rPr>
          <w:rFonts w:ascii="Times New Roman" w:hAnsi="Times New Roman" w:eastAsia="宋体" w:cs="Times New Roman"/>
          <w:szCs w:val="18"/>
        </w:rPr>
        <w:t xml:space="preserve">, </w:t>
      </w:r>
      <w:r>
        <w:rPr>
          <w:rFonts w:hint="eastAsia" w:ascii="Times New Roman" w:hAnsi="Times New Roman" w:eastAsia="宋体" w:cs="Times New Roman"/>
          <w:szCs w:val="18"/>
        </w:rPr>
        <w:t>斯金平</w:t>
      </w:r>
      <w:r>
        <w:rPr>
          <w:rFonts w:ascii="Times New Roman" w:hAnsi="Times New Roman" w:eastAsia="宋体" w:cs="Times New Roman"/>
          <w:szCs w:val="18"/>
        </w:rPr>
        <w:t xml:space="preserve">. </w:t>
      </w:r>
      <w:r>
        <w:rPr>
          <w:rFonts w:hint="eastAsia" w:ascii="Times New Roman" w:hAnsi="Times New Roman" w:eastAsia="宋体" w:cs="Times New Roman"/>
          <w:szCs w:val="18"/>
        </w:rPr>
        <w:t>黄精本草考证与启迪</w:t>
      </w:r>
      <w:r>
        <w:rPr>
          <w:rFonts w:ascii="Times New Roman" w:hAnsi="Times New Roman" w:eastAsia="宋体" w:cs="Times New Roman"/>
          <w:szCs w:val="18"/>
        </w:rPr>
        <w:t xml:space="preserve">[J]. </w:t>
      </w:r>
      <w:r>
        <w:rPr>
          <w:rFonts w:hint="eastAsia" w:ascii="Times New Roman" w:hAnsi="Times New Roman" w:eastAsia="宋体" w:cs="Times New Roman"/>
          <w:szCs w:val="18"/>
        </w:rPr>
        <w:t>中国中药杂志</w:t>
      </w:r>
      <w:r>
        <w:rPr>
          <w:rFonts w:ascii="Times New Roman" w:hAnsi="Times New Roman" w:eastAsia="宋体" w:cs="Times New Roman"/>
          <w:szCs w:val="18"/>
        </w:rPr>
        <w:t xml:space="preserve">, 2018, 43(3): 431. </w:t>
      </w:r>
    </w:p>
    <w:p w14:paraId="4719B0C1">
      <w:pPr>
        <w:numPr>
          <w:ilvl w:val="0"/>
          <w:numId w:val="2"/>
        </w:numPr>
        <w:spacing w:line="360" w:lineRule="auto"/>
        <w:ind w:left="420" w:hanging="420" w:hangingChars="200"/>
        <w:rPr>
          <w:rFonts w:ascii="Times New Roman" w:hAnsi="Times New Roman" w:eastAsia="宋体" w:cs="Times New Roman"/>
          <w:szCs w:val="18"/>
        </w:rPr>
      </w:pPr>
      <w:r>
        <w:rPr>
          <w:rFonts w:hint="eastAsia" w:ascii="Times New Roman" w:hAnsi="Times New Roman" w:eastAsia="宋体" w:cs="Times New Roman"/>
          <w:szCs w:val="18"/>
        </w:rPr>
        <w:t>梁引库</w:t>
      </w:r>
      <w:r>
        <w:rPr>
          <w:rFonts w:ascii="Times New Roman" w:hAnsi="Times New Roman" w:eastAsia="宋体" w:cs="Times New Roman"/>
          <w:szCs w:val="18"/>
        </w:rPr>
        <w:t xml:space="preserve">. </w:t>
      </w:r>
      <w:r>
        <w:rPr>
          <w:rFonts w:hint="eastAsia" w:ascii="Times New Roman" w:hAnsi="Times New Roman" w:eastAsia="宋体" w:cs="Times New Roman"/>
          <w:szCs w:val="18"/>
        </w:rPr>
        <w:t>药用植物黄精研究现状</w:t>
      </w:r>
      <w:r>
        <w:rPr>
          <w:rFonts w:ascii="Times New Roman" w:hAnsi="Times New Roman" w:eastAsia="宋体" w:cs="Times New Roman"/>
          <w:szCs w:val="18"/>
        </w:rPr>
        <w:t xml:space="preserve">[J]. </w:t>
      </w:r>
      <w:r>
        <w:rPr>
          <w:rFonts w:hint="eastAsia" w:ascii="Times New Roman" w:hAnsi="Times New Roman" w:eastAsia="宋体" w:cs="Times New Roman"/>
          <w:szCs w:val="18"/>
        </w:rPr>
        <w:t>陕西农业科学</w:t>
      </w:r>
      <w:r>
        <w:rPr>
          <w:rFonts w:ascii="Times New Roman" w:hAnsi="Times New Roman" w:eastAsia="宋体" w:cs="Times New Roman"/>
          <w:szCs w:val="18"/>
        </w:rPr>
        <w:t>, 2008(1): 81-82.</w:t>
      </w:r>
    </w:p>
    <w:p w14:paraId="70C46CD0">
      <w:pPr>
        <w:numPr>
          <w:ilvl w:val="0"/>
          <w:numId w:val="2"/>
        </w:numPr>
        <w:spacing w:line="360" w:lineRule="auto"/>
        <w:ind w:left="420" w:hanging="420" w:hangingChars="200"/>
        <w:rPr>
          <w:rFonts w:ascii="Times New Roman" w:hAnsi="Times New Roman" w:eastAsia="宋体" w:cs="Times New Roman"/>
          <w:szCs w:val="18"/>
        </w:rPr>
      </w:pPr>
      <w:r>
        <w:rPr>
          <w:rFonts w:hint="eastAsia" w:ascii="Times New Roman" w:hAnsi="Times New Roman" w:eastAsia="宋体" w:cs="Times New Roman"/>
          <w:szCs w:val="18"/>
        </w:rPr>
        <w:t>李金花</w:t>
      </w:r>
      <w:r>
        <w:rPr>
          <w:rFonts w:ascii="Times New Roman" w:hAnsi="Times New Roman" w:eastAsia="宋体" w:cs="Times New Roman"/>
          <w:szCs w:val="18"/>
        </w:rPr>
        <w:t xml:space="preserve">, </w:t>
      </w:r>
      <w:r>
        <w:rPr>
          <w:rFonts w:hint="eastAsia" w:ascii="Times New Roman" w:hAnsi="Times New Roman" w:eastAsia="宋体" w:cs="Times New Roman"/>
          <w:szCs w:val="18"/>
        </w:rPr>
        <w:t>周守标</w:t>
      </w:r>
      <w:r>
        <w:rPr>
          <w:rFonts w:ascii="Times New Roman" w:hAnsi="Times New Roman" w:eastAsia="宋体" w:cs="Times New Roman"/>
          <w:szCs w:val="18"/>
        </w:rPr>
        <w:t xml:space="preserve">. </w:t>
      </w:r>
      <w:r>
        <w:rPr>
          <w:rFonts w:hint="eastAsia" w:ascii="Times New Roman" w:hAnsi="Times New Roman" w:eastAsia="宋体" w:cs="Times New Roman"/>
          <w:szCs w:val="18"/>
        </w:rPr>
        <w:t>安徽黄精属植物的研究现状</w:t>
      </w:r>
      <w:r>
        <w:rPr>
          <w:rFonts w:ascii="Times New Roman" w:hAnsi="Times New Roman" w:eastAsia="宋体" w:cs="Times New Roman"/>
          <w:szCs w:val="18"/>
        </w:rPr>
        <w:t xml:space="preserve">[J]. </w:t>
      </w:r>
      <w:r>
        <w:rPr>
          <w:rFonts w:hint="eastAsia" w:ascii="Times New Roman" w:hAnsi="Times New Roman" w:eastAsia="宋体" w:cs="Times New Roman"/>
          <w:szCs w:val="18"/>
        </w:rPr>
        <w:t>中国野生植物资源</w:t>
      </w:r>
      <w:r>
        <w:rPr>
          <w:rFonts w:ascii="Times New Roman" w:hAnsi="Times New Roman" w:eastAsia="宋体" w:cs="Times New Roman"/>
          <w:szCs w:val="18"/>
        </w:rPr>
        <w:t>, 2005, 24(5): 17-19.</w:t>
      </w:r>
    </w:p>
    <w:p w14:paraId="305AFBD5">
      <w:pPr>
        <w:numPr>
          <w:ilvl w:val="0"/>
          <w:numId w:val="2"/>
        </w:numPr>
        <w:spacing w:line="360" w:lineRule="auto"/>
        <w:ind w:left="420" w:hanging="420" w:hangingChars="200"/>
        <w:rPr>
          <w:rFonts w:ascii="Times New Roman" w:hAnsi="Times New Roman" w:eastAsia="宋体" w:cs="Times New Roman"/>
          <w:szCs w:val="18"/>
        </w:rPr>
      </w:pPr>
      <w:r>
        <w:rPr>
          <w:rFonts w:hint="eastAsia" w:ascii="Times New Roman" w:hAnsi="Times New Roman" w:eastAsia="宋体" w:cs="Times New Roman"/>
          <w:szCs w:val="18"/>
        </w:rPr>
        <w:t>龚雄夫</w:t>
      </w:r>
      <w:r>
        <w:rPr>
          <w:rFonts w:ascii="Times New Roman" w:hAnsi="Times New Roman" w:eastAsia="宋体" w:cs="Times New Roman"/>
          <w:szCs w:val="18"/>
        </w:rPr>
        <w:t xml:space="preserve">, </w:t>
      </w:r>
      <w:r>
        <w:rPr>
          <w:rFonts w:hint="eastAsia" w:ascii="Times New Roman" w:hAnsi="Times New Roman" w:eastAsia="宋体" w:cs="Times New Roman"/>
          <w:szCs w:val="18"/>
        </w:rPr>
        <w:t>邹</w:t>
      </w:r>
      <w:r>
        <w:rPr>
          <w:rFonts w:ascii="Times New Roman" w:hAnsi="Times New Roman" w:eastAsia="宋体" w:cs="Times New Roman"/>
          <w:szCs w:val="18"/>
        </w:rPr>
        <w:t xml:space="preserve"> </w:t>
      </w:r>
      <w:r>
        <w:rPr>
          <w:rFonts w:hint="eastAsia" w:ascii="Times New Roman" w:hAnsi="Times New Roman" w:eastAsia="宋体" w:cs="Times New Roman"/>
          <w:szCs w:val="18"/>
        </w:rPr>
        <w:t>辉</w:t>
      </w:r>
      <w:r>
        <w:rPr>
          <w:rFonts w:ascii="Times New Roman" w:hAnsi="Times New Roman" w:eastAsia="宋体" w:cs="Times New Roman"/>
          <w:szCs w:val="18"/>
        </w:rPr>
        <w:t xml:space="preserve">, </w:t>
      </w:r>
      <w:r>
        <w:rPr>
          <w:rFonts w:hint="eastAsia" w:ascii="Times New Roman" w:hAnsi="Times New Roman" w:eastAsia="宋体" w:cs="Times New Roman"/>
          <w:szCs w:val="18"/>
        </w:rPr>
        <w:t>肖剑锋</w:t>
      </w:r>
      <w:r>
        <w:rPr>
          <w:rFonts w:ascii="Times New Roman" w:hAnsi="Times New Roman" w:eastAsia="宋体" w:cs="Times New Roman"/>
          <w:szCs w:val="18"/>
        </w:rPr>
        <w:t xml:space="preserve">. </w:t>
      </w:r>
      <w:r>
        <w:rPr>
          <w:rFonts w:hint="eastAsia" w:ascii="Times New Roman" w:hAnsi="Times New Roman" w:eastAsia="宋体" w:cs="Times New Roman"/>
          <w:szCs w:val="18"/>
        </w:rPr>
        <w:t>不同光照强度对多花黄精生长的影响研究</w:t>
      </w:r>
      <w:r>
        <w:rPr>
          <w:rFonts w:ascii="Times New Roman" w:hAnsi="Times New Roman" w:eastAsia="宋体" w:cs="Times New Roman"/>
          <w:szCs w:val="18"/>
        </w:rPr>
        <w:t xml:space="preserve">[J]. </w:t>
      </w:r>
      <w:r>
        <w:rPr>
          <w:rFonts w:hint="eastAsia" w:ascii="Times New Roman" w:hAnsi="Times New Roman" w:eastAsia="宋体" w:cs="Times New Roman"/>
          <w:szCs w:val="18"/>
        </w:rPr>
        <w:t>中国果菜</w:t>
      </w:r>
      <w:r>
        <w:rPr>
          <w:rFonts w:ascii="Times New Roman" w:hAnsi="Times New Roman" w:eastAsia="宋体" w:cs="Times New Roman"/>
          <w:szCs w:val="18"/>
        </w:rPr>
        <w:t>. 2019, 39(9): 35-37.</w:t>
      </w:r>
    </w:p>
    <w:p w14:paraId="298B3D2D">
      <w:pPr>
        <w:numPr>
          <w:ilvl w:val="0"/>
          <w:numId w:val="2"/>
        </w:numPr>
        <w:spacing w:line="360" w:lineRule="auto"/>
        <w:ind w:left="420" w:hanging="420" w:hangingChars="200"/>
        <w:rPr>
          <w:rFonts w:ascii="Times New Roman" w:hAnsi="Times New Roman" w:eastAsia="宋体" w:cs="Times New Roman"/>
          <w:szCs w:val="18"/>
        </w:rPr>
      </w:pPr>
      <w:r>
        <w:rPr>
          <w:rFonts w:hint="eastAsia" w:ascii="Times New Roman" w:hAnsi="Times New Roman" w:eastAsia="宋体" w:cs="Times New Roman"/>
          <w:szCs w:val="18"/>
        </w:rPr>
        <w:t>陈</w:t>
      </w:r>
      <w:r>
        <w:rPr>
          <w:rFonts w:ascii="Times New Roman" w:hAnsi="Times New Roman" w:eastAsia="宋体" w:cs="Times New Roman"/>
          <w:szCs w:val="18"/>
        </w:rPr>
        <w:t xml:space="preserve"> </w:t>
      </w:r>
      <w:r>
        <w:rPr>
          <w:rFonts w:hint="eastAsia" w:ascii="Times New Roman" w:hAnsi="Times New Roman" w:eastAsia="宋体" w:cs="Times New Roman"/>
          <w:szCs w:val="18"/>
        </w:rPr>
        <w:t>晔</w:t>
      </w:r>
      <w:r>
        <w:rPr>
          <w:rFonts w:ascii="Times New Roman" w:hAnsi="Times New Roman" w:eastAsia="宋体" w:cs="Times New Roman"/>
          <w:szCs w:val="18"/>
        </w:rPr>
        <w:t xml:space="preserve">, </w:t>
      </w:r>
      <w:r>
        <w:rPr>
          <w:rFonts w:hint="eastAsia" w:ascii="Times New Roman" w:hAnsi="Times New Roman" w:eastAsia="宋体" w:cs="Times New Roman"/>
          <w:szCs w:val="18"/>
        </w:rPr>
        <w:t>孙晓生</w:t>
      </w:r>
      <w:r>
        <w:rPr>
          <w:rFonts w:ascii="Times New Roman" w:hAnsi="Times New Roman" w:eastAsia="宋体" w:cs="Times New Roman"/>
          <w:szCs w:val="18"/>
        </w:rPr>
        <w:t xml:space="preserve">. </w:t>
      </w:r>
      <w:r>
        <w:rPr>
          <w:rFonts w:hint="eastAsia" w:ascii="Times New Roman" w:hAnsi="Times New Roman" w:eastAsia="宋体" w:cs="Times New Roman"/>
          <w:szCs w:val="18"/>
        </w:rPr>
        <w:t>黄精的药理研究进展</w:t>
      </w:r>
      <w:r>
        <w:rPr>
          <w:rFonts w:ascii="Times New Roman" w:hAnsi="Times New Roman" w:eastAsia="宋体" w:cs="Times New Roman"/>
          <w:szCs w:val="18"/>
        </w:rPr>
        <w:t xml:space="preserve">[J]. </w:t>
      </w:r>
      <w:r>
        <w:rPr>
          <w:rFonts w:hint="eastAsia" w:ascii="Times New Roman" w:hAnsi="Times New Roman" w:eastAsia="宋体" w:cs="Times New Roman"/>
          <w:szCs w:val="18"/>
        </w:rPr>
        <w:t>中药新药与临床药理</w:t>
      </w:r>
      <w:r>
        <w:rPr>
          <w:rFonts w:ascii="Times New Roman" w:hAnsi="Times New Roman" w:eastAsia="宋体" w:cs="Times New Roman"/>
          <w:szCs w:val="18"/>
        </w:rPr>
        <w:t>, 2010, 21(3): 328-330.</w:t>
      </w:r>
    </w:p>
    <w:p w14:paraId="74E642CE">
      <w:pPr>
        <w:numPr>
          <w:ilvl w:val="0"/>
          <w:numId w:val="2"/>
        </w:numPr>
        <w:spacing w:line="360" w:lineRule="auto"/>
        <w:ind w:left="420" w:hanging="420" w:hangingChars="200"/>
        <w:rPr>
          <w:rFonts w:ascii="Times New Roman" w:hAnsi="Times New Roman" w:eastAsia="宋体" w:cs="Times New Roman"/>
          <w:szCs w:val="18"/>
        </w:rPr>
      </w:pPr>
      <w:r>
        <w:rPr>
          <w:rFonts w:hint="eastAsia" w:ascii="Times New Roman" w:hAnsi="Times New Roman" w:eastAsia="宋体" w:cs="Times New Roman"/>
          <w:szCs w:val="18"/>
        </w:rPr>
        <w:t>柳</w:t>
      </w:r>
      <w:r>
        <w:rPr>
          <w:rFonts w:ascii="Times New Roman" w:hAnsi="Times New Roman" w:eastAsia="宋体" w:cs="Times New Roman"/>
          <w:szCs w:val="18"/>
        </w:rPr>
        <w:t xml:space="preserve"> </w:t>
      </w:r>
      <w:r>
        <w:rPr>
          <w:rFonts w:hint="eastAsia" w:ascii="Times New Roman" w:hAnsi="Times New Roman" w:eastAsia="宋体" w:cs="Times New Roman"/>
          <w:szCs w:val="18"/>
        </w:rPr>
        <w:t>威</w:t>
      </w:r>
      <w:r>
        <w:rPr>
          <w:rFonts w:ascii="Times New Roman" w:hAnsi="Times New Roman" w:eastAsia="宋体" w:cs="Times New Roman"/>
          <w:szCs w:val="18"/>
        </w:rPr>
        <w:t xml:space="preserve">, </w:t>
      </w:r>
      <w:r>
        <w:rPr>
          <w:rFonts w:hint="eastAsia" w:ascii="Times New Roman" w:hAnsi="Times New Roman" w:eastAsia="宋体" w:cs="Times New Roman"/>
          <w:szCs w:val="18"/>
        </w:rPr>
        <w:t>林懋怡</w:t>
      </w:r>
      <w:r>
        <w:rPr>
          <w:rFonts w:ascii="Times New Roman" w:hAnsi="Times New Roman" w:eastAsia="宋体" w:cs="Times New Roman"/>
          <w:szCs w:val="18"/>
        </w:rPr>
        <w:t xml:space="preserve">, </w:t>
      </w:r>
      <w:r>
        <w:rPr>
          <w:rFonts w:hint="eastAsia" w:ascii="Times New Roman" w:hAnsi="Times New Roman" w:eastAsia="宋体" w:cs="Times New Roman"/>
          <w:szCs w:val="18"/>
        </w:rPr>
        <w:t>刘晋杰</w:t>
      </w:r>
      <w:r>
        <w:rPr>
          <w:rFonts w:ascii="Times New Roman" w:hAnsi="Times New Roman" w:eastAsia="宋体" w:cs="Times New Roman"/>
          <w:szCs w:val="18"/>
        </w:rPr>
        <w:t xml:space="preserve">, </w:t>
      </w:r>
      <w:r>
        <w:rPr>
          <w:rFonts w:hint="eastAsia" w:ascii="Times New Roman" w:hAnsi="Times New Roman" w:eastAsia="宋体" w:cs="Times New Roman"/>
          <w:szCs w:val="18"/>
        </w:rPr>
        <w:t>滇黄精研究进展及黄精研究现状</w:t>
      </w:r>
      <w:r>
        <w:rPr>
          <w:rFonts w:ascii="Times New Roman" w:hAnsi="Times New Roman" w:eastAsia="宋体" w:cs="Times New Roman"/>
          <w:szCs w:val="18"/>
        </w:rPr>
        <w:t xml:space="preserve">[J]. </w:t>
      </w:r>
      <w:r>
        <w:rPr>
          <w:rFonts w:hint="eastAsia" w:ascii="Times New Roman" w:hAnsi="Times New Roman" w:eastAsia="宋体" w:cs="Times New Roman"/>
          <w:szCs w:val="18"/>
        </w:rPr>
        <w:t>中国实验方剂学杂志</w:t>
      </w:r>
      <w:r>
        <w:rPr>
          <w:rFonts w:ascii="Times New Roman" w:hAnsi="Times New Roman" w:eastAsia="宋体" w:cs="Times New Roman"/>
          <w:szCs w:val="18"/>
        </w:rPr>
        <w:t>. 2017, 23(14): 226-234.</w:t>
      </w:r>
    </w:p>
    <w:p w14:paraId="02EEBF0E">
      <w:pPr>
        <w:numPr>
          <w:ilvl w:val="0"/>
          <w:numId w:val="2"/>
        </w:numPr>
        <w:spacing w:line="360" w:lineRule="auto"/>
        <w:ind w:left="420" w:hanging="420" w:hangingChars="200"/>
        <w:rPr>
          <w:rFonts w:ascii="Times New Roman" w:hAnsi="Times New Roman" w:eastAsia="宋体" w:cs="Times New Roman"/>
          <w:szCs w:val="18"/>
        </w:rPr>
      </w:pPr>
      <w:r>
        <w:rPr>
          <w:rFonts w:hint="eastAsia" w:ascii="Times New Roman" w:hAnsi="Times New Roman" w:eastAsia="宋体" w:cs="Times New Roman"/>
          <w:szCs w:val="18"/>
        </w:rPr>
        <w:t>镇兰萍</w:t>
      </w:r>
      <w:r>
        <w:rPr>
          <w:rFonts w:ascii="Times New Roman" w:hAnsi="Times New Roman" w:eastAsia="宋体" w:cs="Times New Roman"/>
          <w:szCs w:val="18"/>
        </w:rPr>
        <w:t xml:space="preserve">. </w:t>
      </w:r>
      <w:r>
        <w:rPr>
          <w:rFonts w:hint="eastAsia" w:ascii="Times New Roman" w:hAnsi="Times New Roman" w:eastAsia="宋体" w:cs="Times New Roman"/>
          <w:szCs w:val="18"/>
        </w:rPr>
        <w:t>安徽野生菊属药用植物的形态与显微特征比较研究</w:t>
      </w:r>
      <w:r>
        <w:rPr>
          <w:rFonts w:ascii="Times New Roman" w:hAnsi="Times New Roman" w:eastAsia="宋体" w:cs="Times New Roman"/>
          <w:szCs w:val="18"/>
        </w:rPr>
        <w:t xml:space="preserve">[D]. </w:t>
      </w:r>
      <w:r>
        <w:rPr>
          <w:rFonts w:hint="eastAsia" w:ascii="Times New Roman" w:hAnsi="Times New Roman" w:eastAsia="宋体" w:cs="Times New Roman"/>
          <w:szCs w:val="18"/>
        </w:rPr>
        <w:t>合肥</w:t>
      </w:r>
      <w:r>
        <w:rPr>
          <w:rFonts w:ascii="Times New Roman" w:hAnsi="Times New Roman" w:eastAsia="宋体" w:cs="Times New Roman"/>
          <w:szCs w:val="18"/>
        </w:rPr>
        <w:t>:</w:t>
      </w:r>
      <w:r>
        <w:rPr>
          <w:rFonts w:hint="eastAsia" w:ascii="Times New Roman" w:hAnsi="Times New Roman" w:eastAsia="宋体" w:cs="Times New Roman"/>
          <w:szCs w:val="18"/>
        </w:rPr>
        <w:t>安徽中医药大学</w:t>
      </w:r>
      <w:r>
        <w:rPr>
          <w:rFonts w:ascii="Times New Roman" w:hAnsi="Times New Roman" w:eastAsia="宋体" w:cs="Times New Roman"/>
          <w:szCs w:val="18"/>
        </w:rPr>
        <w:t>, 2013.</w:t>
      </w:r>
    </w:p>
    <w:p w14:paraId="7E84692C">
      <w:pPr>
        <w:numPr>
          <w:ilvl w:val="0"/>
          <w:numId w:val="2"/>
        </w:numPr>
        <w:spacing w:line="360" w:lineRule="auto"/>
        <w:ind w:left="420" w:hanging="420" w:hangingChars="200"/>
        <w:rPr>
          <w:rFonts w:ascii="Times New Roman" w:hAnsi="Times New Roman" w:eastAsia="宋体" w:cs="Times New Roman"/>
          <w:szCs w:val="18"/>
        </w:rPr>
      </w:pPr>
      <w:r>
        <w:rPr>
          <w:rFonts w:hint="eastAsia" w:ascii="Times New Roman" w:hAnsi="Times New Roman" w:eastAsia="宋体" w:cs="Times New Roman"/>
          <w:szCs w:val="18"/>
        </w:rPr>
        <w:t>郑云峰</w:t>
      </w:r>
      <w:r>
        <w:rPr>
          <w:rFonts w:ascii="Times New Roman" w:hAnsi="Times New Roman" w:eastAsia="宋体" w:cs="Times New Roman"/>
          <w:szCs w:val="18"/>
        </w:rPr>
        <w:t xml:space="preserve">, </w:t>
      </w:r>
      <w:r>
        <w:rPr>
          <w:rFonts w:hint="eastAsia" w:ascii="Times New Roman" w:hAnsi="Times New Roman" w:eastAsia="宋体" w:cs="Times New Roman"/>
          <w:szCs w:val="18"/>
        </w:rPr>
        <w:t>李松涛</w:t>
      </w:r>
      <w:r>
        <w:rPr>
          <w:rFonts w:ascii="Times New Roman" w:hAnsi="Times New Roman" w:eastAsia="宋体" w:cs="Times New Roman"/>
          <w:szCs w:val="18"/>
        </w:rPr>
        <w:t xml:space="preserve">. </w:t>
      </w:r>
      <w:r>
        <w:rPr>
          <w:rFonts w:hint="eastAsia" w:ascii="Times New Roman" w:hAnsi="Times New Roman" w:eastAsia="宋体" w:cs="Times New Roman"/>
          <w:szCs w:val="18"/>
        </w:rPr>
        <w:t>黄精的应用与栽培</w:t>
      </w:r>
      <w:r>
        <w:rPr>
          <w:rFonts w:ascii="Times New Roman" w:hAnsi="Times New Roman" w:eastAsia="宋体" w:cs="Times New Roman"/>
          <w:szCs w:val="18"/>
        </w:rPr>
        <w:t xml:space="preserve">[J]. </w:t>
      </w:r>
      <w:r>
        <w:rPr>
          <w:rFonts w:hint="eastAsia" w:ascii="Times New Roman" w:hAnsi="Times New Roman" w:eastAsia="宋体" w:cs="Times New Roman"/>
          <w:szCs w:val="18"/>
        </w:rPr>
        <w:t>特种经济动植物</w:t>
      </w:r>
      <w:r>
        <w:rPr>
          <w:rFonts w:ascii="Times New Roman" w:hAnsi="Times New Roman" w:eastAsia="宋体" w:cs="Times New Roman"/>
          <w:szCs w:val="18"/>
        </w:rPr>
        <w:t>, 2002(5): 25-28.</w:t>
      </w:r>
    </w:p>
    <w:p w14:paraId="1E2CAB60">
      <w:pPr>
        <w:numPr>
          <w:ilvl w:val="0"/>
          <w:numId w:val="2"/>
        </w:numPr>
        <w:spacing w:line="360" w:lineRule="auto"/>
        <w:ind w:left="420" w:hanging="420" w:hangingChars="200"/>
        <w:rPr>
          <w:rFonts w:ascii="Times New Roman" w:hAnsi="Times New Roman" w:eastAsia="宋体" w:cs="Times New Roman"/>
          <w:szCs w:val="18"/>
        </w:rPr>
      </w:pPr>
      <w:r>
        <w:rPr>
          <w:rFonts w:hint="eastAsia" w:ascii="Times New Roman" w:hAnsi="Times New Roman" w:eastAsia="宋体" w:cs="Times New Roman"/>
          <w:szCs w:val="18"/>
        </w:rPr>
        <w:t>谢凤勋</w:t>
      </w:r>
      <w:r>
        <w:rPr>
          <w:rFonts w:ascii="Times New Roman" w:hAnsi="Times New Roman" w:eastAsia="宋体" w:cs="Times New Roman"/>
          <w:szCs w:val="18"/>
        </w:rPr>
        <w:t xml:space="preserve">. </w:t>
      </w:r>
      <w:r>
        <w:rPr>
          <w:rFonts w:hint="eastAsia" w:ascii="Times New Roman" w:hAnsi="Times New Roman" w:eastAsia="宋体" w:cs="Times New Roman"/>
          <w:szCs w:val="18"/>
        </w:rPr>
        <w:t>中草药栽培实用技术</w:t>
      </w:r>
      <w:r>
        <w:rPr>
          <w:rFonts w:ascii="Times New Roman" w:hAnsi="Times New Roman" w:eastAsia="宋体" w:cs="Times New Roman"/>
          <w:szCs w:val="18"/>
        </w:rPr>
        <w:t xml:space="preserve">[M]. </w:t>
      </w:r>
      <w:r>
        <w:rPr>
          <w:rFonts w:hint="eastAsia" w:ascii="Times New Roman" w:hAnsi="Times New Roman" w:eastAsia="宋体" w:cs="Times New Roman"/>
          <w:szCs w:val="18"/>
        </w:rPr>
        <w:t>北京:中国农业出版社</w:t>
      </w:r>
      <w:r>
        <w:rPr>
          <w:rFonts w:ascii="Times New Roman" w:hAnsi="Times New Roman" w:eastAsia="宋体" w:cs="Times New Roman"/>
          <w:szCs w:val="18"/>
        </w:rPr>
        <w:t>, 2001: 266-269.</w:t>
      </w:r>
    </w:p>
    <w:p w14:paraId="55EFFDFD">
      <w:pPr>
        <w:numPr>
          <w:ilvl w:val="0"/>
          <w:numId w:val="2"/>
        </w:numPr>
        <w:spacing w:line="360" w:lineRule="auto"/>
        <w:ind w:left="420" w:hanging="420" w:hangingChars="200"/>
        <w:rPr>
          <w:rFonts w:ascii="Times New Roman" w:hAnsi="Times New Roman" w:eastAsia="宋体" w:cs="Times New Roman"/>
          <w:szCs w:val="18"/>
        </w:rPr>
      </w:pPr>
      <w:r>
        <w:rPr>
          <w:rFonts w:hint="eastAsia" w:ascii="Times New Roman" w:hAnsi="Times New Roman" w:eastAsia="宋体" w:cs="Times New Roman"/>
          <w:szCs w:val="18"/>
        </w:rPr>
        <w:t>刘祥忠</w:t>
      </w:r>
      <w:r>
        <w:rPr>
          <w:rFonts w:ascii="Times New Roman" w:hAnsi="Times New Roman" w:eastAsia="宋体" w:cs="Times New Roman"/>
          <w:szCs w:val="18"/>
        </w:rPr>
        <w:t xml:space="preserve">. </w:t>
      </w:r>
      <w:r>
        <w:rPr>
          <w:rFonts w:hint="eastAsia" w:ascii="Times New Roman" w:hAnsi="Times New Roman" w:eastAsia="宋体" w:cs="Times New Roman"/>
          <w:szCs w:val="18"/>
        </w:rPr>
        <w:t>多花黄精种植技术</w:t>
      </w:r>
      <w:r>
        <w:rPr>
          <w:rFonts w:ascii="Times New Roman" w:hAnsi="Times New Roman" w:eastAsia="宋体" w:cs="Times New Roman"/>
          <w:szCs w:val="18"/>
        </w:rPr>
        <w:t xml:space="preserve">[J]. </w:t>
      </w:r>
      <w:r>
        <w:rPr>
          <w:rFonts w:hint="eastAsia" w:ascii="Times New Roman" w:hAnsi="Times New Roman" w:eastAsia="宋体" w:cs="Times New Roman"/>
          <w:szCs w:val="18"/>
        </w:rPr>
        <w:t>安徽农业通报</w:t>
      </w:r>
      <w:r>
        <w:rPr>
          <w:rFonts w:ascii="Times New Roman" w:hAnsi="Times New Roman" w:eastAsia="宋体" w:cs="Times New Roman"/>
          <w:szCs w:val="18"/>
        </w:rPr>
        <w:t>, 2012, 18(9): 216-217.</w:t>
      </w:r>
    </w:p>
    <w:p w14:paraId="57536BBF">
      <w:pPr>
        <w:numPr>
          <w:ilvl w:val="0"/>
          <w:numId w:val="2"/>
        </w:numPr>
        <w:spacing w:line="360" w:lineRule="auto"/>
        <w:ind w:left="420" w:hanging="420" w:hangingChars="200"/>
        <w:rPr>
          <w:rFonts w:ascii="Times New Roman" w:hAnsi="Times New Roman" w:eastAsia="宋体" w:cs="Times New Roman"/>
          <w:szCs w:val="18"/>
        </w:rPr>
      </w:pPr>
      <w:r>
        <w:rPr>
          <w:rFonts w:hint="eastAsia" w:ascii="Times New Roman" w:hAnsi="Times New Roman" w:eastAsia="宋体" w:cs="Times New Roman"/>
          <w:szCs w:val="18"/>
        </w:rPr>
        <w:t>田启建</w:t>
      </w:r>
      <w:r>
        <w:rPr>
          <w:rFonts w:ascii="Times New Roman" w:hAnsi="Times New Roman" w:eastAsia="宋体" w:cs="Times New Roman"/>
          <w:szCs w:val="18"/>
        </w:rPr>
        <w:t xml:space="preserve">, </w:t>
      </w:r>
      <w:r>
        <w:rPr>
          <w:rFonts w:hint="eastAsia" w:ascii="Times New Roman" w:hAnsi="Times New Roman" w:eastAsia="宋体" w:cs="Times New Roman"/>
          <w:szCs w:val="18"/>
        </w:rPr>
        <w:t>赵</w:t>
      </w:r>
      <w:r>
        <w:rPr>
          <w:rFonts w:ascii="Times New Roman" w:hAnsi="Times New Roman" w:eastAsia="宋体" w:cs="Times New Roman"/>
          <w:szCs w:val="18"/>
        </w:rPr>
        <w:t xml:space="preserve"> </w:t>
      </w:r>
      <w:r>
        <w:rPr>
          <w:rFonts w:hint="eastAsia" w:ascii="Times New Roman" w:hAnsi="Times New Roman" w:eastAsia="宋体" w:cs="Times New Roman"/>
          <w:szCs w:val="18"/>
        </w:rPr>
        <w:t>致</w:t>
      </w:r>
      <w:r>
        <w:rPr>
          <w:rFonts w:ascii="Times New Roman" w:hAnsi="Times New Roman" w:eastAsia="宋体" w:cs="Times New Roman"/>
          <w:szCs w:val="18"/>
        </w:rPr>
        <w:t xml:space="preserve">, </w:t>
      </w:r>
      <w:r>
        <w:rPr>
          <w:rFonts w:hint="eastAsia" w:ascii="Times New Roman" w:hAnsi="Times New Roman" w:eastAsia="宋体" w:cs="Times New Roman"/>
          <w:szCs w:val="18"/>
        </w:rPr>
        <w:t>谷甫刚</w:t>
      </w:r>
      <w:r>
        <w:rPr>
          <w:rFonts w:ascii="Times New Roman" w:hAnsi="Times New Roman" w:eastAsia="宋体" w:cs="Times New Roman"/>
          <w:szCs w:val="18"/>
        </w:rPr>
        <w:t xml:space="preserve">. </w:t>
      </w:r>
      <w:r>
        <w:rPr>
          <w:rFonts w:hint="eastAsia" w:ascii="Times New Roman" w:hAnsi="Times New Roman" w:eastAsia="宋体" w:cs="Times New Roman"/>
          <w:szCs w:val="18"/>
        </w:rPr>
        <w:t>栽培黄精物候期研究</w:t>
      </w:r>
      <w:r>
        <w:rPr>
          <w:rFonts w:ascii="Times New Roman" w:hAnsi="Times New Roman" w:eastAsia="宋体" w:cs="Times New Roman"/>
          <w:szCs w:val="18"/>
        </w:rPr>
        <w:t xml:space="preserve">[J]. </w:t>
      </w:r>
      <w:r>
        <w:rPr>
          <w:rFonts w:hint="eastAsia" w:ascii="Times New Roman" w:hAnsi="Times New Roman" w:eastAsia="宋体" w:cs="Times New Roman"/>
          <w:szCs w:val="18"/>
        </w:rPr>
        <w:t>中药材</w:t>
      </w:r>
      <w:r>
        <w:rPr>
          <w:rFonts w:ascii="Times New Roman" w:hAnsi="Times New Roman" w:eastAsia="宋体" w:cs="Times New Roman"/>
          <w:szCs w:val="18"/>
        </w:rPr>
        <w:t>, 2010, 33(2): 168-170</w:t>
      </w:r>
      <w:r>
        <w:rPr>
          <w:rFonts w:hint="eastAsia" w:ascii="Times New Roman" w:hAnsi="Times New Roman" w:eastAsia="宋体" w:cs="Times New Roman"/>
          <w:szCs w:val="18"/>
        </w:rPr>
        <w:t>.</w:t>
      </w:r>
    </w:p>
    <w:p w14:paraId="1D7A9B33">
      <w:pPr>
        <w:numPr>
          <w:ilvl w:val="0"/>
          <w:numId w:val="2"/>
        </w:numPr>
        <w:spacing w:line="360" w:lineRule="auto"/>
        <w:ind w:left="420" w:hanging="420" w:hangingChars="200"/>
        <w:rPr>
          <w:rFonts w:ascii="Times New Roman" w:hAnsi="Times New Roman" w:eastAsia="宋体" w:cs="Times New Roman"/>
          <w:szCs w:val="18"/>
        </w:rPr>
      </w:pPr>
      <w:r>
        <w:rPr>
          <w:rFonts w:hint="eastAsia" w:ascii="Times New Roman" w:hAnsi="Times New Roman" w:eastAsia="宋体" w:cs="Times New Roman"/>
          <w:szCs w:val="18"/>
        </w:rPr>
        <w:t>田启建</w:t>
      </w:r>
      <w:r>
        <w:rPr>
          <w:rFonts w:ascii="Times New Roman" w:hAnsi="Times New Roman" w:eastAsia="宋体" w:cs="Times New Roman"/>
          <w:szCs w:val="18"/>
        </w:rPr>
        <w:t xml:space="preserve">, </w:t>
      </w:r>
      <w:r>
        <w:rPr>
          <w:rFonts w:hint="eastAsia" w:ascii="Times New Roman" w:hAnsi="Times New Roman" w:eastAsia="宋体" w:cs="Times New Roman"/>
          <w:szCs w:val="18"/>
        </w:rPr>
        <w:t>赵</w:t>
      </w:r>
      <w:r>
        <w:rPr>
          <w:rFonts w:ascii="Times New Roman" w:hAnsi="Times New Roman" w:eastAsia="宋体" w:cs="Times New Roman"/>
          <w:szCs w:val="18"/>
        </w:rPr>
        <w:t xml:space="preserve"> </w:t>
      </w:r>
      <w:r>
        <w:rPr>
          <w:rFonts w:hint="eastAsia" w:ascii="Times New Roman" w:hAnsi="Times New Roman" w:eastAsia="宋体" w:cs="Times New Roman"/>
          <w:szCs w:val="18"/>
        </w:rPr>
        <w:t>致</w:t>
      </w:r>
      <w:r>
        <w:rPr>
          <w:rFonts w:ascii="Times New Roman" w:hAnsi="Times New Roman" w:eastAsia="宋体" w:cs="Times New Roman"/>
          <w:szCs w:val="18"/>
        </w:rPr>
        <w:t xml:space="preserve">, </w:t>
      </w:r>
      <w:r>
        <w:rPr>
          <w:rFonts w:hint="eastAsia" w:ascii="Times New Roman" w:hAnsi="Times New Roman" w:eastAsia="宋体" w:cs="Times New Roman"/>
          <w:szCs w:val="18"/>
        </w:rPr>
        <w:t>谷甫刚</w:t>
      </w:r>
      <w:r>
        <w:rPr>
          <w:rFonts w:ascii="Times New Roman" w:hAnsi="Times New Roman" w:eastAsia="宋体" w:cs="Times New Roman"/>
          <w:szCs w:val="18"/>
        </w:rPr>
        <w:t xml:space="preserve">. </w:t>
      </w:r>
      <w:r>
        <w:rPr>
          <w:rFonts w:hint="eastAsia" w:ascii="Times New Roman" w:hAnsi="Times New Roman" w:eastAsia="宋体" w:cs="Times New Roman"/>
          <w:szCs w:val="18"/>
        </w:rPr>
        <w:t>栽培黄精开花结实习性研究</w:t>
      </w:r>
      <w:r>
        <w:rPr>
          <w:rFonts w:ascii="Times New Roman" w:hAnsi="Times New Roman" w:eastAsia="宋体" w:cs="Times New Roman"/>
          <w:szCs w:val="18"/>
        </w:rPr>
        <w:t xml:space="preserve">[J]. </w:t>
      </w:r>
      <w:r>
        <w:rPr>
          <w:rFonts w:hint="eastAsia" w:ascii="Times New Roman" w:hAnsi="Times New Roman" w:eastAsia="宋体" w:cs="Times New Roman"/>
          <w:szCs w:val="18"/>
        </w:rPr>
        <w:t>种子</w:t>
      </w:r>
      <w:r>
        <w:rPr>
          <w:rFonts w:ascii="Times New Roman" w:hAnsi="Times New Roman" w:eastAsia="宋体" w:cs="Times New Roman"/>
          <w:szCs w:val="18"/>
        </w:rPr>
        <w:t>, 2009, 28(1): 29-31.</w:t>
      </w:r>
    </w:p>
    <w:p w14:paraId="456FC0AF">
      <w:pPr>
        <w:numPr>
          <w:ilvl w:val="0"/>
          <w:numId w:val="2"/>
        </w:numPr>
        <w:spacing w:line="360" w:lineRule="auto"/>
        <w:ind w:left="420" w:hanging="420" w:hangingChars="200"/>
        <w:rPr>
          <w:rFonts w:ascii="Times New Roman" w:hAnsi="Times New Roman" w:eastAsia="宋体" w:cs="Times New Roman"/>
          <w:szCs w:val="18"/>
        </w:rPr>
      </w:pPr>
      <w:r>
        <w:rPr>
          <w:rFonts w:hint="eastAsia" w:ascii="Times New Roman" w:hAnsi="Times New Roman" w:eastAsia="宋体" w:cs="Times New Roman"/>
          <w:szCs w:val="18"/>
        </w:rPr>
        <w:t>陈松树</w:t>
      </w:r>
      <w:r>
        <w:rPr>
          <w:rFonts w:ascii="Times New Roman" w:hAnsi="Times New Roman" w:eastAsia="宋体" w:cs="Times New Roman"/>
          <w:szCs w:val="18"/>
        </w:rPr>
        <w:t xml:space="preserve">. </w:t>
      </w:r>
      <w:r>
        <w:rPr>
          <w:rFonts w:hint="eastAsia" w:ascii="Times New Roman" w:hAnsi="Times New Roman" w:eastAsia="宋体" w:cs="Times New Roman"/>
          <w:szCs w:val="18"/>
        </w:rPr>
        <w:t>不同处理对多花黄精种子产量和质量影响及播种技术研究</w:t>
      </w:r>
      <w:r>
        <w:rPr>
          <w:rFonts w:ascii="Times New Roman" w:hAnsi="Times New Roman" w:eastAsia="宋体" w:cs="Times New Roman"/>
          <w:szCs w:val="18"/>
        </w:rPr>
        <w:t xml:space="preserve">[D]. </w:t>
      </w:r>
      <w:r>
        <w:rPr>
          <w:rFonts w:hint="eastAsia" w:ascii="Times New Roman" w:hAnsi="Times New Roman" w:eastAsia="宋体" w:cs="Times New Roman"/>
          <w:szCs w:val="18"/>
        </w:rPr>
        <w:t>贵阳</w:t>
      </w:r>
      <w:r>
        <w:rPr>
          <w:rFonts w:ascii="Times New Roman" w:hAnsi="Times New Roman" w:eastAsia="宋体" w:cs="Times New Roman"/>
          <w:szCs w:val="18"/>
        </w:rPr>
        <w:t xml:space="preserve">: </w:t>
      </w:r>
      <w:r>
        <w:rPr>
          <w:rFonts w:hint="eastAsia" w:ascii="Times New Roman" w:hAnsi="Times New Roman" w:eastAsia="宋体" w:cs="Times New Roman"/>
          <w:szCs w:val="18"/>
        </w:rPr>
        <w:t>贵州大学</w:t>
      </w:r>
      <w:r>
        <w:rPr>
          <w:rFonts w:ascii="Times New Roman" w:hAnsi="Times New Roman" w:eastAsia="宋体" w:cs="Times New Roman"/>
          <w:szCs w:val="18"/>
        </w:rPr>
        <w:t>, 2016.</w:t>
      </w:r>
    </w:p>
    <w:p w14:paraId="5A2109F8">
      <w:pPr>
        <w:numPr>
          <w:ilvl w:val="0"/>
          <w:numId w:val="2"/>
        </w:numPr>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 xml:space="preserve">[55] </w:t>
      </w:r>
      <w:r>
        <w:rPr>
          <w:rFonts w:hint="eastAsia" w:ascii="Times New Roman" w:hAnsi="Times New Roman" w:eastAsia="宋体" w:cs="Times New Roman"/>
          <w:szCs w:val="18"/>
        </w:rPr>
        <w:t>林培远</w:t>
      </w:r>
      <w:r>
        <w:rPr>
          <w:rFonts w:ascii="Times New Roman" w:hAnsi="Times New Roman" w:eastAsia="宋体" w:cs="Times New Roman"/>
          <w:szCs w:val="18"/>
        </w:rPr>
        <w:t xml:space="preserve">. </w:t>
      </w:r>
      <w:r>
        <w:rPr>
          <w:rFonts w:hint="eastAsia" w:ascii="Times New Roman" w:hAnsi="Times New Roman" w:eastAsia="宋体" w:cs="Times New Roman"/>
          <w:szCs w:val="18"/>
        </w:rPr>
        <w:t>多花黄精根茎生长特性研究</w:t>
      </w:r>
      <w:r>
        <w:rPr>
          <w:rFonts w:ascii="Times New Roman" w:hAnsi="Times New Roman" w:eastAsia="宋体" w:cs="Times New Roman"/>
          <w:szCs w:val="18"/>
        </w:rPr>
        <w:t xml:space="preserve">[J]. </w:t>
      </w:r>
      <w:r>
        <w:rPr>
          <w:rFonts w:hint="eastAsia" w:ascii="Times New Roman" w:hAnsi="Times New Roman" w:eastAsia="宋体" w:cs="Times New Roman"/>
          <w:szCs w:val="18"/>
        </w:rPr>
        <w:t>林业勘察设计</w:t>
      </w:r>
      <w:r>
        <w:rPr>
          <w:rFonts w:ascii="Times New Roman" w:hAnsi="Times New Roman" w:eastAsia="宋体" w:cs="Times New Roman"/>
          <w:szCs w:val="18"/>
        </w:rPr>
        <w:t>, 2015: 141-144.</w:t>
      </w:r>
      <w:r>
        <w:rPr>
          <w:rFonts w:ascii="Times New Roman" w:hAnsi="Times New Roman" w:eastAsia="宋体" w:cs="Times New Roman"/>
          <w:szCs w:val="18"/>
        </w:rPr>
        <w:tab/>
      </w:r>
    </w:p>
    <w:p w14:paraId="65EC4EA6">
      <w:pPr>
        <w:numPr>
          <w:ilvl w:val="0"/>
          <w:numId w:val="2"/>
        </w:numPr>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 xml:space="preserve">[56] </w:t>
      </w:r>
      <w:r>
        <w:rPr>
          <w:rFonts w:hint="eastAsia" w:ascii="Times New Roman" w:hAnsi="Times New Roman" w:eastAsia="宋体" w:cs="Times New Roman"/>
          <w:szCs w:val="18"/>
        </w:rPr>
        <w:t>刘</w:t>
      </w:r>
      <w:r>
        <w:rPr>
          <w:rFonts w:ascii="Times New Roman" w:hAnsi="Times New Roman" w:eastAsia="宋体" w:cs="Times New Roman"/>
          <w:szCs w:val="18"/>
        </w:rPr>
        <w:t xml:space="preserve"> </w:t>
      </w:r>
      <w:r>
        <w:rPr>
          <w:rFonts w:hint="eastAsia" w:ascii="Times New Roman" w:hAnsi="Times New Roman" w:eastAsia="宋体" w:cs="Times New Roman"/>
          <w:szCs w:val="18"/>
        </w:rPr>
        <w:t>佩</w:t>
      </w:r>
      <w:r>
        <w:rPr>
          <w:rFonts w:ascii="Times New Roman" w:hAnsi="Times New Roman" w:eastAsia="宋体" w:cs="Times New Roman"/>
          <w:szCs w:val="18"/>
        </w:rPr>
        <w:t xml:space="preserve">. </w:t>
      </w:r>
      <w:r>
        <w:rPr>
          <w:rFonts w:hint="eastAsia" w:ascii="Times New Roman" w:hAnsi="Times New Roman" w:eastAsia="宋体" w:cs="Times New Roman"/>
          <w:szCs w:val="18"/>
        </w:rPr>
        <w:t>黄精幼苗生长特性及成分积累研究</w:t>
      </w:r>
      <w:r>
        <w:rPr>
          <w:rFonts w:ascii="Times New Roman" w:hAnsi="Times New Roman" w:eastAsia="宋体" w:cs="Times New Roman"/>
          <w:szCs w:val="18"/>
        </w:rPr>
        <w:t xml:space="preserve">[D]. </w:t>
      </w:r>
      <w:r>
        <w:rPr>
          <w:rFonts w:hint="eastAsia" w:ascii="Times New Roman" w:hAnsi="Times New Roman" w:eastAsia="宋体" w:cs="Times New Roman"/>
          <w:szCs w:val="18"/>
        </w:rPr>
        <w:t>咸阳:西北农林科技大学</w:t>
      </w:r>
      <w:r>
        <w:rPr>
          <w:rFonts w:ascii="Times New Roman" w:hAnsi="Times New Roman" w:eastAsia="宋体" w:cs="Times New Roman"/>
          <w:szCs w:val="18"/>
        </w:rPr>
        <w:t>, 2014.</w:t>
      </w:r>
    </w:p>
    <w:p w14:paraId="39B4A4D4">
      <w:pPr>
        <w:numPr>
          <w:ilvl w:val="0"/>
          <w:numId w:val="2"/>
        </w:numPr>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 xml:space="preserve">[57] </w:t>
      </w:r>
      <w:r>
        <w:rPr>
          <w:rFonts w:hint="eastAsia" w:ascii="Times New Roman" w:hAnsi="Times New Roman" w:eastAsia="宋体" w:cs="Times New Roman"/>
          <w:szCs w:val="18"/>
        </w:rPr>
        <w:t>李</w:t>
      </w:r>
      <w:r>
        <w:rPr>
          <w:rFonts w:ascii="Times New Roman" w:hAnsi="Times New Roman" w:eastAsia="宋体" w:cs="Times New Roman"/>
          <w:szCs w:val="18"/>
        </w:rPr>
        <w:t xml:space="preserve"> </w:t>
      </w:r>
      <w:r>
        <w:rPr>
          <w:rFonts w:hint="eastAsia" w:ascii="Times New Roman" w:hAnsi="Times New Roman" w:eastAsia="宋体" w:cs="Times New Roman"/>
          <w:szCs w:val="18"/>
        </w:rPr>
        <w:t>世</w:t>
      </w:r>
      <w:r>
        <w:rPr>
          <w:rFonts w:ascii="Times New Roman" w:hAnsi="Times New Roman" w:eastAsia="宋体" w:cs="Times New Roman"/>
          <w:szCs w:val="18"/>
        </w:rPr>
        <w:t xml:space="preserve">, </w:t>
      </w:r>
      <w:r>
        <w:rPr>
          <w:rFonts w:hint="eastAsia" w:ascii="Times New Roman" w:hAnsi="Times New Roman" w:eastAsia="宋体" w:cs="Times New Roman"/>
          <w:szCs w:val="18"/>
        </w:rPr>
        <w:t>郭学鉴</w:t>
      </w:r>
      <w:r>
        <w:rPr>
          <w:rFonts w:ascii="Times New Roman" w:hAnsi="Times New Roman" w:eastAsia="宋体" w:cs="Times New Roman"/>
          <w:szCs w:val="18"/>
        </w:rPr>
        <w:t xml:space="preserve">, </w:t>
      </w:r>
      <w:r>
        <w:rPr>
          <w:rFonts w:hint="eastAsia" w:ascii="Times New Roman" w:hAnsi="Times New Roman" w:eastAsia="宋体" w:cs="Times New Roman"/>
          <w:szCs w:val="18"/>
        </w:rPr>
        <w:t>苏淑欣</w:t>
      </w:r>
      <w:r>
        <w:rPr>
          <w:rFonts w:ascii="Times New Roman" w:hAnsi="Times New Roman" w:eastAsia="宋体" w:cs="Times New Roman"/>
          <w:szCs w:val="18"/>
        </w:rPr>
        <w:t xml:space="preserve">, </w:t>
      </w:r>
      <w:r>
        <w:rPr>
          <w:rFonts w:hint="eastAsia" w:ascii="Times New Roman" w:hAnsi="Times New Roman" w:eastAsia="宋体" w:cs="Times New Roman"/>
          <w:szCs w:val="18"/>
        </w:rPr>
        <w:t>等</w:t>
      </w:r>
      <w:r>
        <w:rPr>
          <w:rFonts w:ascii="Times New Roman" w:hAnsi="Times New Roman" w:eastAsia="宋体" w:cs="Times New Roman"/>
          <w:szCs w:val="18"/>
        </w:rPr>
        <w:t xml:space="preserve">. </w:t>
      </w:r>
      <w:r>
        <w:rPr>
          <w:rFonts w:hint="eastAsia" w:ascii="Times New Roman" w:hAnsi="Times New Roman" w:eastAsia="宋体" w:cs="Times New Roman"/>
          <w:szCs w:val="18"/>
        </w:rPr>
        <w:t>黄精野生变家种高产高效栽培技术研究</w:t>
      </w:r>
      <w:r>
        <w:rPr>
          <w:rFonts w:ascii="Times New Roman" w:hAnsi="Times New Roman" w:eastAsia="宋体" w:cs="Times New Roman"/>
          <w:szCs w:val="18"/>
        </w:rPr>
        <w:t xml:space="preserve">[J]. </w:t>
      </w:r>
      <w:r>
        <w:rPr>
          <w:rFonts w:hint="eastAsia" w:ascii="Times New Roman" w:hAnsi="Times New Roman" w:eastAsia="宋体" w:cs="Times New Roman"/>
          <w:szCs w:val="18"/>
        </w:rPr>
        <w:t>中国中药杂志</w:t>
      </w:r>
      <w:r>
        <w:rPr>
          <w:rFonts w:ascii="Times New Roman" w:hAnsi="Times New Roman" w:eastAsia="宋体" w:cs="Times New Roman"/>
          <w:szCs w:val="18"/>
        </w:rPr>
        <w:t>, 1997(7): 14-17,62-63.</w:t>
      </w:r>
    </w:p>
    <w:p w14:paraId="35B4952A">
      <w:pPr>
        <w:numPr>
          <w:ilvl w:val="0"/>
          <w:numId w:val="2"/>
        </w:numPr>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 xml:space="preserve">[58] </w:t>
      </w:r>
      <w:r>
        <w:rPr>
          <w:rFonts w:hint="eastAsia" w:ascii="Times New Roman" w:hAnsi="Times New Roman" w:eastAsia="宋体" w:cs="Times New Roman"/>
          <w:szCs w:val="18"/>
        </w:rPr>
        <w:t>毕研文</w:t>
      </w:r>
      <w:r>
        <w:rPr>
          <w:rFonts w:ascii="Times New Roman" w:hAnsi="Times New Roman" w:eastAsia="宋体" w:cs="Times New Roman"/>
          <w:szCs w:val="18"/>
        </w:rPr>
        <w:t xml:space="preserve">, </w:t>
      </w:r>
      <w:r>
        <w:rPr>
          <w:rFonts w:hint="eastAsia" w:ascii="Times New Roman" w:hAnsi="Times New Roman" w:eastAsia="宋体" w:cs="Times New Roman"/>
          <w:szCs w:val="18"/>
        </w:rPr>
        <w:t>杨永恒</w:t>
      </w:r>
      <w:r>
        <w:rPr>
          <w:rFonts w:ascii="Times New Roman" w:hAnsi="Times New Roman" w:eastAsia="宋体" w:cs="Times New Roman"/>
          <w:szCs w:val="18"/>
        </w:rPr>
        <w:t xml:space="preserve">, </w:t>
      </w:r>
      <w:r>
        <w:rPr>
          <w:rFonts w:hint="eastAsia" w:ascii="Times New Roman" w:hAnsi="Times New Roman" w:eastAsia="宋体" w:cs="Times New Roman"/>
          <w:szCs w:val="18"/>
        </w:rPr>
        <w:t>宫俊华</w:t>
      </w:r>
      <w:r>
        <w:rPr>
          <w:rFonts w:ascii="Times New Roman" w:hAnsi="Times New Roman" w:eastAsia="宋体" w:cs="Times New Roman"/>
          <w:szCs w:val="18"/>
        </w:rPr>
        <w:t xml:space="preserve">, </w:t>
      </w:r>
      <w:r>
        <w:rPr>
          <w:rFonts w:hint="eastAsia" w:ascii="Times New Roman" w:hAnsi="Times New Roman" w:eastAsia="宋体" w:cs="Times New Roman"/>
          <w:szCs w:val="18"/>
        </w:rPr>
        <w:t>等</w:t>
      </w:r>
      <w:r>
        <w:rPr>
          <w:rFonts w:ascii="Times New Roman" w:hAnsi="Times New Roman" w:eastAsia="宋体" w:cs="Times New Roman"/>
          <w:szCs w:val="18"/>
        </w:rPr>
        <w:t xml:space="preserve">. </w:t>
      </w:r>
      <w:r>
        <w:rPr>
          <w:rFonts w:hint="eastAsia" w:ascii="Times New Roman" w:hAnsi="Times New Roman" w:eastAsia="宋体" w:cs="Times New Roman"/>
          <w:szCs w:val="18"/>
        </w:rPr>
        <w:t>黄精和多花黄精中多糖及薯蓣皂苷元的含量测定</w:t>
      </w:r>
      <w:r>
        <w:rPr>
          <w:rFonts w:ascii="Times New Roman" w:hAnsi="Times New Roman" w:eastAsia="宋体" w:cs="Times New Roman"/>
          <w:szCs w:val="18"/>
        </w:rPr>
        <w:t xml:space="preserve">[J]. </w:t>
      </w:r>
      <w:r>
        <w:rPr>
          <w:rFonts w:hint="eastAsia" w:ascii="Times New Roman" w:hAnsi="Times New Roman" w:eastAsia="宋体" w:cs="Times New Roman"/>
          <w:szCs w:val="18"/>
        </w:rPr>
        <w:t>长春中医药大学学报</w:t>
      </w:r>
      <w:r>
        <w:rPr>
          <w:rFonts w:ascii="Times New Roman" w:hAnsi="Times New Roman" w:eastAsia="宋体" w:cs="Times New Roman"/>
          <w:szCs w:val="18"/>
        </w:rPr>
        <w:t>, 2010, 26(5): 649-650.</w:t>
      </w:r>
    </w:p>
    <w:p w14:paraId="4EA52C05">
      <w:pPr>
        <w:numPr>
          <w:ilvl w:val="0"/>
          <w:numId w:val="2"/>
        </w:numPr>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 xml:space="preserve">[59] </w:t>
      </w:r>
      <w:r>
        <w:rPr>
          <w:rFonts w:hint="eastAsia" w:ascii="Times New Roman" w:hAnsi="Times New Roman" w:eastAsia="宋体" w:cs="Times New Roman"/>
          <w:szCs w:val="18"/>
        </w:rPr>
        <w:t>梁永富</w:t>
      </w:r>
      <w:r>
        <w:rPr>
          <w:rFonts w:ascii="Times New Roman" w:hAnsi="Times New Roman" w:eastAsia="宋体" w:cs="Times New Roman"/>
          <w:szCs w:val="18"/>
        </w:rPr>
        <w:t xml:space="preserve">, </w:t>
      </w:r>
      <w:r>
        <w:rPr>
          <w:rFonts w:hint="eastAsia" w:ascii="Times New Roman" w:hAnsi="Times New Roman" w:eastAsia="宋体" w:cs="Times New Roman"/>
          <w:szCs w:val="18"/>
        </w:rPr>
        <w:t>易家宁</w:t>
      </w:r>
      <w:r>
        <w:rPr>
          <w:rFonts w:ascii="Times New Roman" w:hAnsi="Times New Roman" w:eastAsia="宋体" w:cs="Times New Roman"/>
          <w:szCs w:val="18"/>
        </w:rPr>
        <w:t xml:space="preserve">, </w:t>
      </w:r>
      <w:r>
        <w:rPr>
          <w:rFonts w:hint="eastAsia" w:ascii="Times New Roman" w:hAnsi="Times New Roman" w:eastAsia="宋体" w:cs="Times New Roman"/>
          <w:szCs w:val="18"/>
        </w:rPr>
        <w:t>王康才</w:t>
      </w:r>
      <w:r>
        <w:rPr>
          <w:rFonts w:ascii="Times New Roman" w:hAnsi="Times New Roman" w:eastAsia="宋体" w:cs="Times New Roman"/>
          <w:szCs w:val="18"/>
        </w:rPr>
        <w:t xml:space="preserve">, </w:t>
      </w:r>
      <w:r>
        <w:rPr>
          <w:rFonts w:hint="eastAsia" w:ascii="Times New Roman" w:hAnsi="Times New Roman" w:eastAsia="宋体" w:cs="Times New Roman"/>
          <w:szCs w:val="18"/>
        </w:rPr>
        <w:t>等</w:t>
      </w:r>
      <w:r>
        <w:rPr>
          <w:rFonts w:ascii="Times New Roman" w:hAnsi="Times New Roman" w:eastAsia="宋体" w:cs="Times New Roman"/>
          <w:szCs w:val="18"/>
        </w:rPr>
        <w:t xml:space="preserve">. </w:t>
      </w:r>
      <w:r>
        <w:rPr>
          <w:rFonts w:hint="eastAsia" w:ascii="Times New Roman" w:hAnsi="Times New Roman" w:eastAsia="宋体" w:cs="Times New Roman"/>
          <w:szCs w:val="18"/>
        </w:rPr>
        <w:t>遮阴对多花黄精生长及光合特性的影响</w:t>
      </w:r>
      <w:r>
        <w:rPr>
          <w:rFonts w:ascii="Times New Roman" w:hAnsi="Times New Roman" w:eastAsia="宋体" w:cs="Times New Roman"/>
          <w:szCs w:val="18"/>
        </w:rPr>
        <w:t xml:space="preserve">[J]. </w:t>
      </w:r>
      <w:r>
        <w:rPr>
          <w:rFonts w:hint="eastAsia" w:ascii="Times New Roman" w:hAnsi="Times New Roman" w:eastAsia="宋体" w:cs="Times New Roman"/>
          <w:szCs w:val="18"/>
        </w:rPr>
        <w:t>中国中药杂志</w:t>
      </w:r>
      <w:r>
        <w:rPr>
          <w:rFonts w:ascii="Times New Roman" w:hAnsi="Times New Roman" w:eastAsia="宋体" w:cs="Times New Roman"/>
          <w:szCs w:val="18"/>
        </w:rPr>
        <w:t>, 2019, 44(1): 59-67.</w:t>
      </w:r>
    </w:p>
    <w:p w14:paraId="76EEF7A7">
      <w:pPr>
        <w:numPr>
          <w:ilvl w:val="0"/>
          <w:numId w:val="2"/>
        </w:numPr>
        <w:spacing w:line="360" w:lineRule="auto"/>
        <w:ind w:left="420" w:hanging="420" w:hangingChars="200"/>
        <w:rPr>
          <w:rFonts w:ascii="Times New Roman" w:hAnsi="Times New Roman" w:eastAsia="宋体" w:cs="Times New Roman"/>
          <w:szCs w:val="18"/>
        </w:rPr>
      </w:pPr>
      <w:r>
        <w:rPr>
          <w:rFonts w:ascii="Times New Roman" w:hAnsi="Times New Roman" w:eastAsia="宋体" w:cs="Times New Roman"/>
          <w:szCs w:val="18"/>
        </w:rPr>
        <w:t xml:space="preserve">[60] </w:t>
      </w:r>
      <w:r>
        <w:rPr>
          <w:rFonts w:hint="eastAsia" w:ascii="Times New Roman" w:hAnsi="Times New Roman" w:eastAsia="宋体" w:cs="Times New Roman"/>
          <w:szCs w:val="18"/>
        </w:rPr>
        <w:t>赵立春</w:t>
      </w:r>
      <w:r>
        <w:rPr>
          <w:rFonts w:ascii="Times New Roman" w:hAnsi="Times New Roman" w:eastAsia="宋体" w:cs="Times New Roman"/>
          <w:szCs w:val="18"/>
        </w:rPr>
        <w:t xml:space="preserve">, </w:t>
      </w:r>
      <w:r>
        <w:rPr>
          <w:rFonts w:hint="eastAsia" w:ascii="Times New Roman" w:hAnsi="Times New Roman" w:eastAsia="宋体" w:cs="Times New Roman"/>
          <w:szCs w:val="18"/>
        </w:rPr>
        <w:t>李小沛</w:t>
      </w:r>
      <w:r>
        <w:rPr>
          <w:rFonts w:ascii="Times New Roman" w:hAnsi="Times New Roman" w:eastAsia="宋体" w:cs="Times New Roman"/>
          <w:szCs w:val="18"/>
        </w:rPr>
        <w:t xml:space="preserve">, </w:t>
      </w:r>
      <w:r>
        <w:rPr>
          <w:rFonts w:hint="eastAsia" w:ascii="Times New Roman" w:hAnsi="Times New Roman" w:eastAsia="宋体" w:cs="Times New Roman"/>
          <w:szCs w:val="18"/>
        </w:rPr>
        <w:t>刘继永</w:t>
      </w:r>
      <w:r>
        <w:rPr>
          <w:rFonts w:ascii="Times New Roman" w:hAnsi="Times New Roman" w:eastAsia="宋体" w:cs="Times New Roman"/>
          <w:szCs w:val="18"/>
        </w:rPr>
        <w:t xml:space="preserve">, </w:t>
      </w:r>
      <w:r>
        <w:rPr>
          <w:rFonts w:hint="eastAsia" w:ascii="Times New Roman" w:hAnsi="Times New Roman" w:eastAsia="宋体" w:cs="Times New Roman"/>
          <w:szCs w:val="18"/>
        </w:rPr>
        <w:t>等</w:t>
      </w:r>
      <w:r>
        <w:rPr>
          <w:rFonts w:ascii="Times New Roman" w:hAnsi="Times New Roman" w:eastAsia="宋体" w:cs="Times New Roman"/>
          <w:szCs w:val="18"/>
        </w:rPr>
        <w:t xml:space="preserve">. </w:t>
      </w:r>
      <w:r>
        <w:rPr>
          <w:rFonts w:hint="eastAsia" w:ascii="Times New Roman" w:hAnsi="Times New Roman" w:eastAsia="宋体" w:cs="Times New Roman"/>
          <w:szCs w:val="18"/>
        </w:rPr>
        <w:t>不同栽培模式下黄精多指标品质对比研究</w:t>
      </w:r>
      <w:r>
        <w:rPr>
          <w:rFonts w:ascii="Times New Roman" w:hAnsi="Times New Roman" w:eastAsia="宋体" w:cs="Times New Roman"/>
          <w:szCs w:val="18"/>
        </w:rPr>
        <w:t>[J].</w:t>
      </w:r>
      <w:r>
        <w:rPr>
          <w:rFonts w:hint="eastAsia" w:ascii="Times New Roman" w:hAnsi="Times New Roman" w:eastAsia="宋体" w:cs="Times New Roman"/>
          <w:szCs w:val="18"/>
        </w:rPr>
        <w:t>植物学研究</w:t>
      </w:r>
      <w:r>
        <w:rPr>
          <w:rFonts w:ascii="Times New Roman" w:hAnsi="Times New Roman" w:eastAsia="宋体" w:cs="Times New Roman"/>
          <w:szCs w:val="18"/>
        </w:rPr>
        <w:t>, 2018, 7(1): 15-20.</w:t>
      </w:r>
    </w:p>
    <w:p w14:paraId="0D1D5CB6">
      <w:pPr>
        <w:widowControl/>
        <w:spacing w:line="360" w:lineRule="auto"/>
        <w:rPr>
          <w:rFonts w:ascii="Times New Roman" w:hAnsi="Times New Roman" w:eastAsia="宋体" w:cs="Times New Roman"/>
          <w:sz w:val="24"/>
          <w:szCs w:val="24"/>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等线 Light">
    <w:panose1 w:val="02010600030101010101"/>
    <w:charset w:val="86"/>
    <w:family w:val="auto"/>
    <w:pitch w:val="default"/>
    <w:sig w:usb0="A00002BF" w:usb1="38CF7CFA" w:usb2="00000016" w:usb3="00000000" w:csb0="0004000F" w:csb1="00000000"/>
  </w:font>
  <w:font w:name="Calibri Light">
    <w:panose1 w:val="020F03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5E5B915"/>
    <w:multiLevelType w:val="singleLevel"/>
    <w:tmpl w:val="55E5B915"/>
    <w:lvl w:ilvl="0" w:tentative="0">
      <w:start w:val="1"/>
      <w:numFmt w:val="decimal"/>
      <w:suff w:val="space"/>
      <w:lvlText w:val="[%1]"/>
      <w:lvlJc w:val="left"/>
    </w:lvl>
  </w:abstractNum>
  <w:abstractNum w:abstractNumId="1">
    <w:nsid w:val="7A778D60"/>
    <w:multiLevelType w:val="multilevel"/>
    <w:tmpl w:val="7A778D60"/>
    <w:lvl w:ilvl="0" w:tentative="0">
      <w:start w:val="1"/>
      <w:numFmt w:val="chineseCounting"/>
      <w:suff w:val="space"/>
      <w:lvlText w:val="%1、"/>
      <w:lvlJc w:val="left"/>
      <w:pPr>
        <w:tabs>
          <w:tab w:val="left" w:pos="0"/>
        </w:tabs>
        <w:ind w:left="480" w:hanging="480"/>
      </w:pPr>
      <w:rPr>
        <w:rFonts w:hint="eastAsia"/>
        <w:b/>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trackRevisions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jNiMWFjNTVlMzY3NDBkYTdlOWMxOTg4ZTlmZmNkNGMifQ=="/>
  </w:docVars>
  <w:rsids>
    <w:rsidRoot w:val="00482204"/>
    <w:rsid w:val="000043DC"/>
    <w:rsid w:val="000515A1"/>
    <w:rsid w:val="00052E7D"/>
    <w:rsid w:val="00064E79"/>
    <w:rsid w:val="000B4910"/>
    <w:rsid w:val="001170E4"/>
    <w:rsid w:val="00125CCF"/>
    <w:rsid w:val="001416A0"/>
    <w:rsid w:val="001558F0"/>
    <w:rsid w:val="00160C67"/>
    <w:rsid w:val="001B1C9B"/>
    <w:rsid w:val="001C03FF"/>
    <w:rsid w:val="001E150E"/>
    <w:rsid w:val="00215D0A"/>
    <w:rsid w:val="0023593D"/>
    <w:rsid w:val="002471ED"/>
    <w:rsid w:val="00255F0A"/>
    <w:rsid w:val="00282065"/>
    <w:rsid w:val="002A4528"/>
    <w:rsid w:val="002A4824"/>
    <w:rsid w:val="002A711C"/>
    <w:rsid w:val="002B094E"/>
    <w:rsid w:val="002B61B7"/>
    <w:rsid w:val="002B7603"/>
    <w:rsid w:val="002D0747"/>
    <w:rsid w:val="00330A83"/>
    <w:rsid w:val="00330EFF"/>
    <w:rsid w:val="00331E10"/>
    <w:rsid w:val="0036128F"/>
    <w:rsid w:val="00363F94"/>
    <w:rsid w:val="00372157"/>
    <w:rsid w:val="00372F03"/>
    <w:rsid w:val="00373E43"/>
    <w:rsid w:val="003C5DDC"/>
    <w:rsid w:val="003D507A"/>
    <w:rsid w:val="003D68D9"/>
    <w:rsid w:val="004255E0"/>
    <w:rsid w:val="00450088"/>
    <w:rsid w:val="00473009"/>
    <w:rsid w:val="00482204"/>
    <w:rsid w:val="0049679A"/>
    <w:rsid w:val="004D77E3"/>
    <w:rsid w:val="004E747F"/>
    <w:rsid w:val="0052041C"/>
    <w:rsid w:val="005379E0"/>
    <w:rsid w:val="0054025C"/>
    <w:rsid w:val="005429F5"/>
    <w:rsid w:val="00542A1D"/>
    <w:rsid w:val="005E1CB9"/>
    <w:rsid w:val="0063445A"/>
    <w:rsid w:val="00655495"/>
    <w:rsid w:val="006609A1"/>
    <w:rsid w:val="00670A6E"/>
    <w:rsid w:val="006A5BC3"/>
    <w:rsid w:val="006C0580"/>
    <w:rsid w:val="006C7009"/>
    <w:rsid w:val="006E1D3D"/>
    <w:rsid w:val="006F212D"/>
    <w:rsid w:val="006F2914"/>
    <w:rsid w:val="00703B60"/>
    <w:rsid w:val="00717E3C"/>
    <w:rsid w:val="00786AB6"/>
    <w:rsid w:val="007C3ECB"/>
    <w:rsid w:val="007C5670"/>
    <w:rsid w:val="007D69CC"/>
    <w:rsid w:val="007E29C6"/>
    <w:rsid w:val="007F1B17"/>
    <w:rsid w:val="00816B6C"/>
    <w:rsid w:val="008645A2"/>
    <w:rsid w:val="00880471"/>
    <w:rsid w:val="00886785"/>
    <w:rsid w:val="00924B99"/>
    <w:rsid w:val="009326E1"/>
    <w:rsid w:val="00953770"/>
    <w:rsid w:val="0098630C"/>
    <w:rsid w:val="009A4839"/>
    <w:rsid w:val="009D431E"/>
    <w:rsid w:val="00A1189D"/>
    <w:rsid w:val="00A13574"/>
    <w:rsid w:val="00A73F30"/>
    <w:rsid w:val="00A93770"/>
    <w:rsid w:val="00AB083D"/>
    <w:rsid w:val="00AC6905"/>
    <w:rsid w:val="00B05474"/>
    <w:rsid w:val="00BC223D"/>
    <w:rsid w:val="00BC4E85"/>
    <w:rsid w:val="00BD61AC"/>
    <w:rsid w:val="00BE1604"/>
    <w:rsid w:val="00C02DB8"/>
    <w:rsid w:val="00C24B82"/>
    <w:rsid w:val="00C3784A"/>
    <w:rsid w:val="00C5029D"/>
    <w:rsid w:val="00C828F4"/>
    <w:rsid w:val="00C841D7"/>
    <w:rsid w:val="00CA63A5"/>
    <w:rsid w:val="00CB0FC7"/>
    <w:rsid w:val="00CD5195"/>
    <w:rsid w:val="00CE0489"/>
    <w:rsid w:val="00D00F14"/>
    <w:rsid w:val="00D07DEF"/>
    <w:rsid w:val="00D3105B"/>
    <w:rsid w:val="00D36570"/>
    <w:rsid w:val="00D42278"/>
    <w:rsid w:val="00D63A87"/>
    <w:rsid w:val="00D647FD"/>
    <w:rsid w:val="00D82CA3"/>
    <w:rsid w:val="00DB2AFB"/>
    <w:rsid w:val="00DE1E0E"/>
    <w:rsid w:val="00DE28E5"/>
    <w:rsid w:val="00DF7FF2"/>
    <w:rsid w:val="00E158E1"/>
    <w:rsid w:val="00E375E0"/>
    <w:rsid w:val="00E44BFC"/>
    <w:rsid w:val="00E9692D"/>
    <w:rsid w:val="00EA2CE0"/>
    <w:rsid w:val="00EA2D5E"/>
    <w:rsid w:val="00EC4392"/>
    <w:rsid w:val="00ED04B6"/>
    <w:rsid w:val="00ED707B"/>
    <w:rsid w:val="00F00763"/>
    <w:rsid w:val="00F04699"/>
    <w:rsid w:val="00F23B23"/>
    <w:rsid w:val="00F54240"/>
    <w:rsid w:val="00F57743"/>
    <w:rsid w:val="00FD46BD"/>
    <w:rsid w:val="00FE765E"/>
    <w:rsid w:val="00FF2EF0"/>
    <w:rsid w:val="00FF7A7C"/>
    <w:rsid w:val="10927ABC"/>
    <w:rsid w:val="11F776EF"/>
    <w:rsid w:val="19510D51"/>
    <w:rsid w:val="20C81987"/>
    <w:rsid w:val="61826B9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semiHidden="0" w:name="heading 2"/>
    <w:lsdException w:qFormat="1" w:uiPriority="9" w:semiHidden="0" w:name="heading 3"/>
    <w:lsdException w:qFormat="1" w:uiPriority="9" w:semiHidden="0" w:name="heading 4"/>
    <w:lsdException w:qFormat="1" w:uiPriority="0"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uiPriority="39" w:semiHidden="0" w:name="toc 8"/>
    <w:lsdException w:qFormat="1" w:uiPriority="39" w:semiHidden="0" w:name="toc 9"/>
    <w:lsdException w:uiPriority="99" w:name="Normal Indent"/>
    <w:lsdException w:qFormat="1" w:uiPriority="99" w:name="footnote text"/>
    <w:lsdException w:qFormat="1" w:unhideWhenUsed="0" w:uiPriority="0" w:semiHidden="0" w:name="annotation text"/>
    <w:lsdException w:qFormat="1" w:uiPriority="99" w:semiHidden="0" w:name="header"/>
    <w:lsdException w:qFormat="1" w:uiPriority="99" w:semiHidden="0" w:name="footer"/>
    <w:lsdException w:uiPriority="99" w:name="index heading"/>
    <w:lsdException w:qFormat="1" w:unhideWhenUsed="0" w:uiPriority="99" w:semiHidden="0" w:name="caption"/>
    <w:lsdException w:uiPriority="99" w:name="table of figures"/>
    <w:lsdException w:uiPriority="99" w:name="envelope address"/>
    <w:lsdException w:uiPriority="99" w:name="envelope return"/>
    <w:lsdException w:qFormat="1" w:uiPriority="99" w:name="footnote reference"/>
    <w:lsdException w:qFormat="1" w:uiPriority="99" w:name="annotation reference"/>
    <w:lsdException w:uiPriority="99" w:name="line number"/>
    <w:lsdException w:uiPriority="99" w:name="page number"/>
    <w:lsdException w:uiPriority="99" w:name="endnote reference"/>
    <w:lsdException w:qFormat="1" w:uiPriority="99" w:semiHidden="0"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link w:val="33"/>
    <w:qFormat/>
    <w:uiPriority w:val="9"/>
    <w:pPr>
      <w:widowControl/>
      <w:spacing w:before="100" w:beforeAutospacing="1" w:after="100" w:afterAutospacing="1"/>
      <w:jc w:val="left"/>
      <w:outlineLvl w:val="0"/>
    </w:pPr>
    <w:rPr>
      <w:rFonts w:ascii="宋体" w:hAnsi="宋体" w:eastAsia="宋体" w:cs="宋体"/>
      <w:b/>
      <w:bCs/>
      <w:kern w:val="36"/>
      <w:sz w:val="48"/>
      <w:szCs w:val="48"/>
    </w:rPr>
  </w:style>
  <w:style w:type="paragraph" w:styleId="3">
    <w:name w:val="heading 2"/>
    <w:basedOn w:val="1"/>
    <w:next w:val="1"/>
    <w:link w:val="34"/>
    <w:unhideWhenUsed/>
    <w:qFormat/>
    <w:uiPriority w:val="0"/>
    <w:pPr>
      <w:keepNext/>
      <w:keepLines/>
      <w:spacing w:line="360" w:lineRule="auto"/>
      <w:outlineLvl w:val="1"/>
    </w:pPr>
    <w:rPr>
      <w:rFonts w:eastAsia="黑体" w:asciiTheme="majorHAnsi" w:hAnsiTheme="majorHAnsi" w:cstheme="majorBidi"/>
      <w:b/>
      <w:bCs/>
      <w:sz w:val="28"/>
      <w:szCs w:val="32"/>
    </w:rPr>
  </w:style>
  <w:style w:type="paragraph" w:styleId="4">
    <w:name w:val="heading 3"/>
    <w:basedOn w:val="1"/>
    <w:next w:val="1"/>
    <w:link w:val="35"/>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36"/>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37"/>
    <w:unhideWhenUsed/>
    <w:qFormat/>
    <w:uiPriority w:val="0"/>
    <w:pPr>
      <w:keepNext/>
      <w:keepLines/>
      <w:spacing w:line="360" w:lineRule="auto"/>
      <w:jc w:val="left"/>
      <w:outlineLvl w:val="4"/>
    </w:pPr>
    <w:rPr>
      <w:rFonts w:ascii="Times New Roman" w:hAnsi="Times New Roman" w:eastAsia="宋体"/>
      <w:bCs/>
      <w:sz w:val="24"/>
      <w:szCs w:val="28"/>
    </w:rPr>
  </w:style>
  <w:style w:type="character" w:default="1" w:styleId="29">
    <w:name w:val="Default Paragraph Font"/>
    <w:semiHidden/>
    <w:unhideWhenUsed/>
    <w:uiPriority w:val="1"/>
  </w:style>
  <w:style w:type="table" w:default="1" w:styleId="27">
    <w:name w:val="Normal Table"/>
    <w:semiHidden/>
    <w:unhideWhenUsed/>
    <w:qFormat/>
    <w:uiPriority w:val="99"/>
    <w:tblPr>
      <w:tblCellMar>
        <w:top w:w="0" w:type="dxa"/>
        <w:left w:w="108" w:type="dxa"/>
        <w:bottom w:w="0" w:type="dxa"/>
        <w:right w:w="108" w:type="dxa"/>
      </w:tblCellMar>
    </w:tblPr>
  </w:style>
  <w:style w:type="paragraph" w:styleId="7">
    <w:name w:val="toc 7"/>
    <w:basedOn w:val="1"/>
    <w:next w:val="1"/>
    <w:unhideWhenUsed/>
    <w:qFormat/>
    <w:uiPriority w:val="39"/>
    <w:pPr>
      <w:ind w:left="2520" w:leftChars="1200"/>
    </w:pPr>
  </w:style>
  <w:style w:type="paragraph" w:styleId="8">
    <w:name w:val="caption"/>
    <w:basedOn w:val="1"/>
    <w:next w:val="1"/>
    <w:qFormat/>
    <w:uiPriority w:val="99"/>
    <w:pPr>
      <w:spacing w:line="360" w:lineRule="auto"/>
      <w:jc w:val="left"/>
    </w:pPr>
    <w:rPr>
      <w:rFonts w:ascii="等线 Light" w:hAnsi="等线 Light" w:eastAsia="黑体" w:cs="Times New Roman"/>
      <w:sz w:val="20"/>
      <w:szCs w:val="20"/>
    </w:rPr>
  </w:style>
  <w:style w:type="paragraph" w:styleId="9">
    <w:name w:val="annotation text"/>
    <w:basedOn w:val="1"/>
    <w:link w:val="45"/>
    <w:qFormat/>
    <w:uiPriority w:val="0"/>
    <w:pPr>
      <w:jc w:val="left"/>
    </w:pPr>
    <w:rPr>
      <w:rFonts w:ascii="Calibri" w:hAnsi="Calibri" w:eastAsia="宋体" w:cs="Times New Roman"/>
      <w:szCs w:val="24"/>
    </w:rPr>
  </w:style>
  <w:style w:type="paragraph" w:styleId="10">
    <w:name w:val="toc 5"/>
    <w:basedOn w:val="1"/>
    <w:next w:val="1"/>
    <w:unhideWhenUsed/>
    <w:qFormat/>
    <w:uiPriority w:val="39"/>
    <w:pPr>
      <w:ind w:left="1680" w:leftChars="800"/>
    </w:pPr>
  </w:style>
  <w:style w:type="paragraph" w:styleId="11">
    <w:name w:val="toc 3"/>
    <w:basedOn w:val="1"/>
    <w:next w:val="1"/>
    <w:unhideWhenUsed/>
    <w:qFormat/>
    <w:uiPriority w:val="39"/>
    <w:pPr>
      <w:ind w:left="840" w:leftChars="400"/>
    </w:pPr>
  </w:style>
  <w:style w:type="paragraph" w:styleId="12">
    <w:name w:val="toc 8"/>
    <w:basedOn w:val="1"/>
    <w:next w:val="1"/>
    <w:unhideWhenUsed/>
    <w:uiPriority w:val="39"/>
    <w:pPr>
      <w:ind w:left="2940" w:leftChars="1400"/>
    </w:pPr>
  </w:style>
  <w:style w:type="paragraph" w:styleId="13">
    <w:name w:val="Date"/>
    <w:basedOn w:val="1"/>
    <w:next w:val="1"/>
    <w:link w:val="46"/>
    <w:semiHidden/>
    <w:unhideWhenUsed/>
    <w:qFormat/>
    <w:uiPriority w:val="99"/>
    <w:pPr>
      <w:ind w:left="100" w:leftChars="2500"/>
    </w:pPr>
  </w:style>
  <w:style w:type="paragraph" w:styleId="14">
    <w:name w:val="endnote text"/>
    <w:basedOn w:val="1"/>
    <w:link w:val="47"/>
    <w:unhideWhenUsed/>
    <w:qFormat/>
    <w:uiPriority w:val="99"/>
    <w:pPr>
      <w:snapToGrid w:val="0"/>
      <w:jc w:val="left"/>
    </w:pPr>
  </w:style>
  <w:style w:type="paragraph" w:styleId="15">
    <w:name w:val="Balloon Text"/>
    <w:basedOn w:val="1"/>
    <w:link w:val="39"/>
    <w:semiHidden/>
    <w:unhideWhenUsed/>
    <w:qFormat/>
    <w:uiPriority w:val="99"/>
    <w:rPr>
      <w:sz w:val="18"/>
      <w:szCs w:val="18"/>
    </w:rPr>
  </w:style>
  <w:style w:type="paragraph" w:styleId="16">
    <w:name w:val="footer"/>
    <w:basedOn w:val="1"/>
    <w:link w:val="41"/>
    <w:unhideWhenUsed/>
    <w:qFormat/>
    <w:uiPriority w:val="99"/>
    <w:pPr>
      <w:tabs>
        <w:tab w:val="center" w:pos="4153"/>
        <w:tab w:val="right" w:pos="8306"/>
      </w:tabs>
      <w:snapToGrid w:val="0"/>
      <w:jc w:val="left"/>
    </w:pPr>
    <w:rPr>
      <w:sz w:val="18"/>
      <w:szCs w:val="18"/>
    </w:rPr>
  </w:style>
  <w:style w:type="paragraph" w:styleId="17">
    <w:name w:val="header"/>
    <w:basedOn w:val="1"/>
    <w:link w:val="40"/>
    <w:unhideWhenUsed/>
    <w:qFormat/>
    <w:uiPriority w:val="99"/>
    <w:pPr>
      <w:pBdr>
        <w:bottom w:val="single" w:color="auto" w:sz="6" w:space="1"/>
      </w:pBdr>
      <w:tabs>
        <w:tab w:val="center" w:pos="4153"/>
        <w:tab w:val="right" w:pos="8306"/>
      </w:tabs>
      <w:snapToGrid w:val="0"/>
      <w:jc w:val="center"/>
    </w:pPr>
    <w:rPr>
      <w:sz w:val="18"/>
      <w:szCs w:val="18"/>
    </w:rPr>
  </w:style>
  <w:style w:type="paragraph" w:styleId="18">
    <w:name w:val="toc 1"/>
    <w:basedOn w:val="1"/>
    <w:next w:val="1"/>
    <w:unhideWhenUsed/>
    <w:qFormat/>
    <w:uiPriority w:val="39"/>
  </w:style>
  <w:style w:type="paragraph" w:styleId="19">
    <w:name w:val="toc 4"/>
    <w:basedOn w:val="1"/>
    <w:next w:val="1"/>
    <w:unhideWhenUsed/>
    <w:qFormat/>
    <w:uiPriority w:val="39"/>
    <w:pPr>
      <w:ind w:left="1260" w:leftChars="600"/>
    </w:pPr>
  </w:style>
  <w:style w:type="paragraph" w:styleId="20">
    <w:name w:val="footnote text"/>
    <w:basedOn w:val="1"/>
    <w:link w:val="48"/>
    <w:semiHidden/>
    <w:unhideWhenUsed/>
    <w:qFormat/>
    <w:uiPriority w:val="99"/>
    <w:pPr>
      <w:snapToGrid w:val="0"/>
      <w:jc w:val="left"/>
    </w:pPr>
    <w:rPr>
      <w:sz w:val="18"/>
      <w:szCs w:val="18"/>
    </w:rPr>
  </w:style>
  <w:style w:type="paragraph" w:styleId="21">
    <w:name w:val="toc 6"/>
    <w:basedOn w:val="1"/>
    <w:next w:val="1"/>
    <w:unhideWhenUsed/>
    <w:qFormat/>
    <w:uiPriority w:val="39"/>
    <w:pPr>
      <w:ind w:left="2100" w:leftChars="1000"/>
    </w:pPr>
  </w:style>
  <w:style w:type="paragraph" w:styleId="22">
    <w:name w:val="toc 2"/>
    <w:basedOn w:val="1"/>
    <w:next w:val="1"/>
    <w:unhideWhenUsed/>
    <w:qFormat/>
    <w:uiPriority w:val="39"/>
    <w:pPr>
      <w:ind w:left="420" w:leftChars="200"/>
    </w:pPr>
  </w:style>
  <w:style w:type="paragraph" w:styleId="23">
    <w:name w:val="toc 9"/>
    <w:basedOn w:val="1"/>
    <w:next w:val="1"/>
    <w:unhideWhenUsed/>
    <w:qFormat/>
    <w:uiPriority w:val="39"/>
    <w:pPr>
      <w:ind w:left="3360" w:leftChars="1600"/>
    </w:pPr>
  </w:style>
  <w:style w:type="paragraph" w:styleId="24">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25">
    <w:name w:val="Title"/>
    <w:basedOn w:val="1"/>
    <w:next w:val="1"/>
    <w:link w:val="61"/>
    <w:qFormat/>
    <w:uiPriority w:val="0"/>
    <w:pPr>
      <w:spacing w:before="240" w:after="60"/>
      <w:jc w:val="center"/>
      <w:outlineLvl w:val="0"/>
    </w:pPr>
    <w:rPr>
      <w:rFonts w:ascii="Calibri Light" w:hAnsi="Calibri Light" w:eastAsia="宋体" w:cs="Times New Roman"/>
      <w:b/>
      <w:bCs/>
      <w:sz w:val="28"/>
      <w:szCs w:val="32"/>
    </w:rPr>
  </w:style>
  <w:style w:type="paragraph" w:styleId="26">
    <w:name w:val="annotation subject"/>
    <w:basedOn w:val="9"/>
    <w:next w:val="9"/>
    <w:link w:val="49"/>
    <w:semiHidden/>
    <w:unhideWhenUsed/>
    <w:qFormat/>
    <w:uiPriority w:val="99"/>
    <w:rPr>
      <w:rFonts w:asciiTheme="minorHAnsi" w:hAnsiTheme="minorHAnsi" w:eastAsiaTheme="minorEastAsia" w:cstheme="minorBidi"/>
      <w:b/>
      <w:bCs/>
      <w:szCs w:val="22"/>
    </w:rPr>
  </w:style>
  <w:style w:type="table" w:styleId="28">
    <w:name w:val="Table Grid"/>
    <w:basedOn w:val="27"/>
    <w:qFormat/>
    <w:uiPriority w:val="99"/>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30">
    <w:name w:val="Strong"/>
    <w:basedOn w:val="29"/>
    <w:qFormat/>
    <w:uiPriority w:val="22"/>
    <w:rPr>
      <w:b/>
      <w:bCs/>
    </w:rPr>
  </w:style>
  <w:style w:type="character" w:styleId="31">
    <w:name w:val="Emphasis"/>
    <w:basedOn w:val="29"/>
    <w:qFormat/>
    <w:uiPriority w:val="20"/>
    <w:rPr>
      <w:i/>
      <w:iCs/>
    </w:rPr>
  </w:style>
  <w:style w:type="character" w:styleId="32">
    <w:name w:val="Hyperlink"/>
    <w:basedOn w:val="29"/>
    <w:unhideWhenUsed/>
    <w:qFormat/>
    <w:uiPriority w:val="99"/>
    <w:rPr>
      <w:color w:val="0000FF"/>
      <w:u w:val="single"/>
    </w:rPr>
  </w:style>
  <w:style w:type="character" w:customStyle="1" w:styleId="33">
    <w:name w:val="标题 1 Char"/>
    <w:basedOn w:val="29"/>
    <w:link w:val="2"/>
    <w:qFormat/>
    <w:uiPriority w:val="9"/>
    <w:rPr>
      <w:rFonts w:ascii="宋体" w:hAnsi="宋体" w:eastAsia="宋体" w:cs="宋体"/>
      <w:b/>
      <w:bCs/>
      <w:kern w:val="36"/>
      <w:sz w:val="48"/>
      <w:szCs w:val="48"/>
    </w:rPr>
  </w:style>
  <w:style w:type="character" w:customStyle="1" w:styleId="34">
    <w:name w:val="标题 2 Char"/>
    <w:basedOn w:val="29"/>
    <w:link w:val="3"/>
    <w:qFormat/>
    <w:uiPriority w:val="0"/>
    <w:rPr>
      <w:rFonts w:eastAsia="黑体" w:asciiTheme="majorHAnsi" w:hAnsiTheme="majorHAnsi" w:cstheme="majorBidi"/>
      <w:b/>
      <w:bCs/>
      <w:sz w:val="28"/>
      <w:szCs w:val="32"/>
    </w:rPr>
  </w:style>
  <w:style w:type="character" w:customStyle="1" w:styleId="35">
    <w:name w:val="标题 3 Char"/>
    <w:basedOn w:val="29"/>
    <w:link w:val="4"/>
    <w:qFormat/>
    <w:uiPriority w:val="9"/>
    <w:rPr>
      <w:b/>
      <w:bCs/>
      <w:sz w:val="32"/>
      <w:szCs w:val="32"/>
    </w:rPr>
  </w:style>
  <w:style w:type="character" w:customStyle="1" w:styleId="36">
    <w:name w:val="标题 4 Char"/>
    <w:basedOn w:val="29"/>
    <w:link w:val="5"/>
    <w:qFormat/>
    <w:uiPriority w:val="9"/>
    <w:rPr>
      <w:rFonts w:asciiTheme="majorHAnsi" w:hAnsiTheme="majorHAnsi" w:eastAsiaTheme="majorEastAsia" w:cstheme="majorBidi"/>
      <w:b/>
      <w:bCs/>
      <w:sz w:val="28"/>
      <w:szCs w:val="28"/>
    </w:rPr>
  </w:style>
  <w:style w:type="character" w:customStyle="1" w:styleId="37">
    <w:name w:val="标题 5 Char"/>
    <w:basedOn w:val="29"/>
    <w:link w:val="6"/>
    <w:qFormat/>
    <w:uiPriority w:val="0"/>
    <w:rPr>
      <w:rFonts w:ascii="Times New Roman" w:hAnsi="Times New Roman" w:eastAsia="宋体"/>
      <w:bCs/>
      <w:sz w:val="24"/>
      <w:szCs w:val="28"/>
    </w:rPr>
  </w:style>
  <w:style w:type="paragraph" w:customStyle="1" w:styleId="38">
    <w:name w:val="syl-page-br"/>
    <w:basedOn w:val="1"/>
    <w:qFormat/>
    <w:uiPriority w:val="0"/>
    <w:pPr>
      <w:widowControl/>
      <w:spacing w:before="100" w:beforeAutospacing="1" w:after="100" w:afterAutospacing="1"/>
      <w:jc w:val="left"/>
    </w:pPr>
    <w:rPr>
      <w:rFonts w:ascii="宋体" w:hAnsi="宋体" w:eastAsia="宋体" w:cs="宋体"/>
      <w:kern w:val="0"/>
      <w:sz w:val="24"/>
      <w:szCs w:val="24"/>
    </w:rPr>
  </w:style>
  <w:style w:type="character" w:customStyle="1" w:styleId="39">
    <w:name w:val="批注框文本 Char"/>
    <w:basedOn w:val="29"/>
    <w:link w:val="15"/>
    <w:semiHidden/>
    <w:uiPriority w:val="99"/>
    <w:rPr>
      <w:sz w:val="18"/>
      <w:szCs w:val="18"/>
    </w:rPr>
  </w:style>
  <w:style w:type="character" w:customStyle="1" w:styleId="40">
    <w:name w:val="页眉 Char"/>
    <w:basedOn w:val="29"/>
    <w:link w:val="17"/>
    <w:qFormat/>
    <w:uiPriority w:val="99"/>
    <w:rPr>
      <w:sz w:val="18"/>
      <w:szCs w:val="18"/>
    </w:rPr>
  </w:style>
  <w:style w:type="character" w:customStyle="1" w:styleId="41">
    <w:name w:val="页脚 Char"/>
    <w:basedOn w:val="29"/>
    <w:link w:val="16"/>
    <w:qFormat/>
    <w:uiPriority w:val="99"/>
    <w:rPr>
      <w:sz w:val="18"/>
      <w:szCs w:val="18"/>
    </w:rPr>
  </w:style>
  <w:style w:type="character" w:customStyle="1" w:styleId="42">
    <w:name w:val="dot"/>
    <w:basedOn w:val="29"/>
    <w:uiPriority w:val="0"/>
  </w:style>
  <w:style w:type="character" w:customStyle="1" w:styleId="43">
    <w:name w:val="name"/>
    <w:basedOn w:val="29"/>
    <w:uiPriority w:val="0"/>
  </w:style>
  <w:style w:type="paragraph" w:styleId="44">
    <w:name w:val="List Paragraph"/>
    <w:basedOn w:val="1"/>
    <w:qFormat/>
    <w:uiPriority w:val="34"/>
    <w:pPr>
      <w:ind w:firstLine="420" w:firstLineChars="200"/>
    </w:pPr>
  </w:style>
  <w:style w:type="character" w:customStyle="1" w:styleId="45">
    <w:name w:val="批注文字 Char"/>
    <w:basedOn w:val="29"/>
    <w:link w:val="9"/>
    <w:qFormat/>
    <w:uiPriority w:val="0"/>
    <w:rPr>
      <w:rFonts w:ascii="Calibri" w:hAnsi="Calibri" w:eastAsia="宋体" w:cs="Times New Roman"/>
      <w:szCs w:val="24"/>
    </w:rPr>
  </w:style>
  <w:style w:type="character" w:customStyle="1" w:styleId="46">
    <w:name w:val="日期 Char"/>
    <w:basedOn w:val="29"/>
    <w:link w:val="13"/>
    <w:semiHidden/>
    <w:uiPriority w:val="99"/>
  </w:style>
  <w:style w:type="character" w:customStyle="1" w:styleId="47">
    <w:name w:val="尾注文本 Char"/>
    <w:basedOn w:val="29"/>
    <w:link w:val="14"/>
    <w:qFormat/>
    <w:uiPriority w:val="99"/>
  </w:style>
  <w:style w:type="character" w:customStyle="1" w:styleId="48">
    <w:name w:val="脚注文本 Char"/>
    <w:basedOn w:val="29"/>
    <w:link w:val="20"/>
    <w:semiHidden/>
    <w:qFormat/>
    <w:uiPriority w:val="99"/>
    <w:rPr>
      <w:sz w:val="18"/>
      <w:szCs w:val="18"/>
    </w:rPr>
  </w:style>
  <w:style w:type="character" w:customStyle="1" w:styleId="49">
    <w:name w:val="批注主题 Char"/>
    <w:basedOn w:val="45"/>
    <w:link w:val="26"/>
    <w:semiHidden/>
    <w:qFormat/>
    <w:uiPriority w:val="99"/>
    <w:rPr>
      <w:rFonts w:ascii="Calibri" w:hAnsi="Calibri" w:eastAsia="宋体" w:cs="Times New Roman"/>
      <w:b/>
      <w:bCs/>
      <w:szCs w:val="24"/>
    </w:rPr>
  </w:style>
  <w:style w:type="paragraph" w:customStyle="1" w:styleId="50">
    <w:name w:val="正文1"/>
    <w:basedOn w:val="2"/>
    <w:qFormat/>
    <w:uiPriority w:val="0"/>
    <w:pPr>
      <w:keepNext/>
      <w:keepLines/>
      <w:widowControl w:val="0"/>
      <w:spacing w:before="340" w:beforeAutospacing="0" w:after="330" w:afterAutospacing="0" w:line="578" w:lineRule="auto"/>
      <w:jc w:val="both"/>
    </w:pPr>
    <w:rPr>
      <w:rFonts w:ascii="Times New Roman" w:hAnsi="Times New Roman" w:eastAsia="黑体" w:cs="Times New Roman"/>
      <w:kern w:val="44"/>
      <w:sz w:val="30"/>
      <w:szCs w:val="44"/>
    </w:rPr>
  </w:style>
  <w:style w:type="paragraph" w:customStyle="1" w:styleId="51">
    <w:name w:val="列表段落1"/>
    <w:basedOn w:val="1"/>
    <w:qFormat/>
    <w:uiPriority w:val="0"/>
    <w:pPr>
      <w:ind w:firstLine="420" w:firstLineChars="200"/>
    </w:pPr>
    <w:rPr>
      <w:rFonts w:ascii="等线" w:hAnsi="等线" w:eastAsia="等线" w:cs="Times New Roman"/>
      <w:szCs w:val="21"/>
    </w:rPr>
  </w:style>
  <w:style w:type="paragraph" w:customStyle="1" w:styleId="52">
    <w:name w:val="列出段落1"/>
    <w:basedOn w:val="1"/>
    <w:qFormat/>
    <w:uiPriority w:val="0"/>
    <w:pPr>
      <w:ind w:firstLine="420" w:firstLineChars="200"/>
    </w:pPr>
    <w:rPr>
      <w:rFonts w:ascii="Calibri" w:hAnsi="Calibri" w:eastAsia="宋体" w:cs="Times New Roman"/>
      <w:szCs w:val="21"/>
    </w:rPr>
  </w:style>
  <w:style w:type="character" w:customStyle="1" w:styleId="53">
    <w:name w:val="15"/>
    <w:basedOn w:val="29"/>
    <w:qFormat/>
    <w:uiPriority w:val="0"/>
    <w:rPr>
      <w:rFonts w:hint="eastAsia" w:ascii="等线" w:hAnsi="等线" w:eastAsia="等线"/>
      <w:i/>
      <w:iCs/>
    </w:rPr>
  </w:style>
  <w:style w:type="paragraph" w:customStyle="1" w:styleId="54">
    <w:name w:val="TOC 标题1"/>
    <w:basedOn w:val="2"/>
    <w:next w:val="1"/>
    <w:unhideWhenUsed/>
    <w:qFormat/>
    <w:uiPriority w:val="39"/>
    <w:pPr>
      <w:keepNext/>
      <w:keepLines/>
      <w:spacing w:before="240" w:beforeAutospacing="0" w:after="0" w:afterAutospacing="0" w:line="259" w:lineRule="auto"/>
      <w:outlineLvl w:val="9"/>
    </w:pPr>
    <w:rPr>
      <w:rFonts w:asciiTheme="majorHAnsi" w:hAnsiTheme="majorHAnsi" w:eastAsiaTheme="majorEastAsia" w:cstheme="majorBidi"/>
      <w:b w:val="0"/>
      <w:bCs w:val="0"/>
      <w:color w:val="366091" w:themeColor="accent1" w:themeShade="BF"/>
      <w:kern w:val="0"/>
      <w:sz w:val="32"/>
      <w:szCs w:val="32"/>
    </w:rPr>
  </w:style>
  <w:style w:type="character" w:customStyle="1" w:styleId="55">
    <w:name w:val="手册正文 Char Char"/>
    <w:link w:val="56"/>
    <w:qFormat/>
    <w:uiPriority w:val="0"/>
    <w:rPr>
      <w:szCs w:val="72"/>
    </w:rPr>
  </w:style>
  <w:style w:type="paragraph" w:customStyle="1" w:styleId="56">
    <w:name w:val="手册正文"/>
    <w:basedOn w:val="1"/>
    <w:link w:val="55"/>
    <w:qFormat/>
    <w:uiPriority w:val="0"/>
    <w:pPr>
      <w:spacing w:line="360" w:lineRule="auto"/>
      <w:ind w:firstLine="420" w:firstLineChars="200"/>
      <w:jc w:val="left"/>
    </w:pPr>
    <w:rPr>
      <w:szCs w:val="72"/>
    </w:rPr>
  </w:style>
  <w:style w:type="character" w:customStyle="1" w:styleId="57">
    <w:name w:val="font11"/>
    <w:basedOn w:val="29"/>
    <w:qFormat/>
    <w:uiPriority w:val="0"/>
    <w:rPr>
      <w:rFonts w:hint="default" w:ascii="Times New Roman" w:hAnsi="Times New Roman" w:cs="Times New Roman"/>
      <w:color w:val="000000"/>
      <w:sz w:val="24"/>
      <w:szCs w:val="24"/>
      <w:u w:val="none"/>
    </w:rPr>
  </w:style>
  <w:style w:type="character" w:customStyle="1" w:styleId="58">
    <w:name w:val="段 Char"/>
    <w:basedOn w:val="29"/>
    <w:link w:val="59"/>
    <w:qFormat/>
    <w:uiPriority w:val="0"/>
    <w:rPr>
      <w:rFonts w:ascii="宋体"/>
    </w:rPr>
  </w:style>
  <w:style w:type="paragraph" w:customStyle="1" w:styleId="59">
    <w:name w:val="段"/>
    <w:link w:val="58"/>
    <w:qFormat/>
    <w:uiPriority w:val="0"/>
    <w:pPr>
      <w:tabs>
        <w:tab w:val="center" w:pos="4201"/>
        <w:tab w:val="right" w:leader="dot" w:pos="9298"/>
      </w:tabs>
      <w:autoSpaceDE w:val="0"/>
      <w:autoSpaceDN w:val="0"/>
      <w:ind w:firstLine="420" w:firstLineChars="200"/>
      <w:jc w:val="both"/>
    </w:pPr>
    <w:rPr>
      <w:rFonts w:ascii="宋体" w:hAnsiTheme="minorHAnsi" w:eastAsiaTheme="minorEastAsia" w:cstheme="minorBidi"/>
      <w:kern w:val="2"/>
      <w:sz w:val="21"/>
      <w:szCs w:val="22"/>
      <w:lang w:val="en-US" w:eastAsia="zh-CN" w:bidi="ar-SA"/>
    </w:rPr>
  </w:style>
  <w:style w:type="paragraph" w:customStyle="1" w:styleId="60">
    <w:name w:val="一级条标题"/>
    <w:next w:val="59"/>
    <w:qFormat/>
    <w:uiPriority w:val="0"/>
    <w:pPr>
      <w:spacing w:beforeLines="50" w:afterLines="50"/>
      <w:outlineLvl w:val="2"/>
    </w:pPr>
    <w:rPr>
      <w:rFonts w:ascii="黑体" w:hAnsi="Times New Roman" w:eastAsia="黑体" w:cs="Times New Roman"/>
      <w:sz w:val="21"/>
      <w:szCs w:val="24"/>
      <w:lang w:val="en-US" w:eastAsia="zh-CN" w:bidi="ar-SA"/>
    </w:rPr>
  </w:style>
  <w:style w:type="character" w:customStyle="1" w:styleId="61">
    <w:name w:val="标题 Char"/>
    <w:basedOn w:val="29"/>
    <w:link w:val="25"/>
    <w:qFormat/>
    <w:uiPriority w:val="0"/>
    <w:rPr>
      <w:rFonts w:ascii="Calibri Light" w:hAnsi="Calibri Light" w:eastAsia="宋体" w:cs="Times New Roman"/>
      <w:b/>
      <w:bCs/>
      <w:sz w:val="28"/>
      <w:szCs w:val="32"/>
    </w:rPr>
  </w:style>
  <w:style w:type="paragraph" w:customStyle="1" w:styleId="62">
    <w:name w:val="Revision"/>
    <w:hidden/>
    <w:unhideWhenUsed/>
    <w:uiPriority w:val="99"/>
    <w:rPr>
      <w:rFonts w:asciiTheme="minorHAnsi" w:hAnsiTheme="minorHAnsi" w:eastAsiaTheme="minorEastAsia" w:cstheme="minorBidi"/>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customXml" Target="../customXml/item1.xml"/><Relationship Id="rId11" Type="http://schemas.openxmlformats.org/officeDocument/2006/relationships/numbering" Target="numbering.xml"/><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2823EDB-A648-494A-ACFD-9DD7761A0A97}">
  <ds:schemaRefs/>
</ds:datastoreItem>
</file>

<file path=docProps/app.xml><?xml version="1.0" encoding="utf-8"?>
<Properties xmlns="http://schemas.openxmlformats.org/officeDocument/2006/extended-properties" xmlns:vt="http://schemas.openxmlformats.org/officeDocument/2006/docPropsVTypes">
  <Template>Normal.dotm</Template>
  <Company>Organization</Company>
  <Pages>36</Pages>
  <Words>16525</Words>
  <Characters>19711</Characters>
  <Lines>227</Lines>
  <Paragraphs>64</Paragraphs>
  <TotalTime>2</TotalTime>
  <ScaleCrop>false</ScaleCrop>
  <LinksUpToDate>false</LinksUpToDate>
  <CharactersWithSpaces>20111</CharactersWithSpaces>
  <Application>WPS Office_12.1.0.18912_F1E327BC-269C-435d-A152-05C5408002CA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2024-11-04T04:14:00Z</dcterms:created>
  <dc:creator>Windows 用户</dc:creator>
  <cp:lastModifiedBy>jiangshui</cp:lastModifiedBy>
  <dcterms:modified xsi:type="dcterms:W3CDTF">2024-11-19T02:44:57Z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2052-12.1.0.18912</vt:lpwstr>
  </property>
  <property fmtid="{D5CDD505-2E9C-101B-9397-08002B2CF9AE}" pid="3" name="ICV">
    <vt:lpwstr>3BD3B8F6BA494319B8D8BD57D354F08E_13</vt:lpwstr>
  </property>
</Properties>
</file>